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pre14a.htm"/>
      <w:bookmarkStart w:id="1" w:name="ksformpre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center"/>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bidi w:val="0"/>
        <w:spacing w:before="0" w:after="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bidi w:val="0"/>
        <w:spacing w:before="0" w:after="0"/>
        <w:jc w:val="center"/>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bidi w:val="0"/>
        <w:spacing w:before="0" w:after="0"/>
        <w:jc w:val="center"/>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bidi w:val="0"/>
        <w:spacing w:before="0" w:after="0"/>
        <w:jc w:val="center"/>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245"/>
        <w:gridCol w:w="317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jc w:val="center"/>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spacing w:before="0" w:after="0"/>
        <w:jc w:val="center"/>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p>
      <w:pPr>
        <w:pStyle w:val="TextBody"/>
        <w:bidi w:val="0"/>
        <w:spacing w:before="0" w:after="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36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3620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the Special Meeting of Stockholders of HCW Biologics Inc. (the “Company” or “HCWB”) on Tuesday, October 27, 2026 at 10:00 a.m. Eastern Time. This Special Meeting will be a completely virtual meeting, conducted only via live webcast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You will be able to attend and participate in the Special Meeting online, submit questions during the meeting and vote your shares electronically. In addition, although the live webcast is available only to stockholders at the time of the meeting, following completion of the Special Meeting, a webcast replay will be available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for a period of one year after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Special Meeting the Company will submit the following proposals to its stockholders for approval. Our Board recommends a vote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 xml:space="preserve">Proposals One and Two.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33"/>
        <w:gridCol w:w="9992"/>
      </w:tblGrid>
      <w:tr>
        <w:trPr/>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92"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 approve issuance of Common Warrants exercisable for up to 618,682 shares of Common Stock at $2.585 per share in connection with private placement financing completed on July 29, 2026.</w:t>
            </w:r>
            <w:r>
              <w:rPr>
                <w:rFonts w:ascii="Times New Roman;Times;Serif" w:hAnsi="Times New Roman;Times;Serif"/>
                <w:b w:val="false"/>
                <w:i w:val="false"/>
                <w:caps w:val="false"/>
                <w:smallCaps w:val="false"/>
                <w:sz w:val="20"/>
              </w:rPr>
              <w:t xml:space="preserve"> </w:t>
            </w:r>
          </w:p>
          <w:p>
            <w:pPr>
              <w:pStyle w:val="TableContents"/>
              <w:bidi w:val="0"/>
              <w:jc w:val="both"/>
              <w:rPr>
                <w:caps w:val="false"/>
                <w:smallCaps w:val="false"/>
              </w:rPr>
            </w:pPr>
            <w:r>
              <w:rPr>
                <w:caps w:val="false"/>
                <w:smallCaps w:val="false"/>
              </w:rPr>
              <w:t xml:space="preserve">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2026, the Company completed a $1.6 million private placement in which we issued common stock warrants that may be exercised to purchase up to 618,682 shares of Common Stock (“Common Warrants”) at $2.585 per share. The Company required stockholder approval to be compliant with Nasdaq Listing Rule 5635(d), which is also known as the “20% Rule.” In order to comply with the Nasdaq 20% Rule, we are seeking stockholder approval to permit the potential issuance of more than 19.99% of our outstanding Common Stock upon exercise of the Common Warrants in accordance with their terms. The Company is obligated to seek stockholder approval until such approval is obtained.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92" w:type="dxa"/>
            <w:tcBorders/>
            <w:vAlign w:val="center"/>
          </w:tcPr>
          <w:p>
            <w:pPr>
              <w:pStyle w:val="TableContents"/>
              <w:bidi w:val="0"/>
              <w:spacing w:before="0" w:after="283"/>
              <w:jc w:val="both"/>
              <w:rPr>
                <w:caps w:val="false"/>
                <w:smallCaps w:val="false"/>
              </w:rPr>
            </w:pPr>
            <w:r>
              <w:rPr>
                <w:caps w:val="false"/>
                <w:smallCaps w:val="false"/>
              </w:rPr>
              <w:t xml:space="preserve">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92"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 approve an amended performance-based equity incentive plan for the Company’s eligible officers, directors and employees, including the addition of a Special Reserve of shares of common stock authorized for issuance thereunder of 2,500,000 shares, available for grants upon achievement of performance milestones as set forth in the 2026 Special Reserve Plan.</w:t>
            </w:r>
            <w:r>
              <w:rPr>
                <w:rFonts w:ascii="Times New Roman;Times;Serif" w:hAnsi="Times New Roman;Times;Serif"/>
                <w:b w:val="false"/>
                <w:i w:val="false"/>
                <w:caps w:val="false"/>
                <w:smallCaps w:val="false"/>
                <w:sz w:val="20"/>
              </w:rPr>
              <w:t xml:space="preserve"> </w:t>
            </w:r>
          </w:p>
          <w:p>
            <w:pPr>
              <w:pStyle w:val="TableContents"/>
              <w:bidi w:val="0"/>
              <w:jc w:val="both"/>
              <w:rPr>
                <w:caps w:val="false"/>
                <w:smallCaps w:val="false"/>
              </w:rPr>
            </w:pPr>
            <w:r>
              <w:rPr>
                <w:caps w:val="false"/>
                <w:smallCaps w:val="false"/>
              </w:rPr>
              <w:t xml:space="preserve">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established an equity incentive plan prior to effecting our initial public offering, and there have been no changes to the plan since that time. Currently, existing options granted and held by our officers, directors and employees are significantly underwater, with exercise prices that dilute the strength of the incentive to retain our talent. We propose an Amended and Restated HCW Biologics Inc. 2021 Equity Incentive Plan and 2026 Special Reserve Plan to establish a performance-based equity awards program that is keyed to our stock price, with grants of equity awarded to eligible officers, directors and employees made when our stockholders have a meaningful increase in the value of their investment. Once granted, we plan to have a service period for up to 2 years to complete vesting. The Special Reserve will be fixed at 2,500,000 shares unless and until stockholders approve an increase to this reserve. Awards will be made based on the recommendations of the Compensation Committee of the Company’s Board of Directors and approved by the Board of Directors.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3"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9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80"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such other business as may properly come before the Special Meeting or any adjournments or postponements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about September 15, 2026, we will commence mailing a Notice of Special Meeting and Proxy Statement to our stockholders along with instructions on how to access our Proxy Statement via the Internet and authorize a proxy to vote your shares online. </w:t>
      </w:r>
      <w:r>
        <w:rPr>
          <w:rFonts w:ascii="Times New Roman;Times;Serif" w:hAnsi="Times New Roman;Times;Serif"/>
          <w:b/>
          <w:i w:val="false"/>
          <w:caps w:val="false"/>
          <w:smallCaps w:val="false"/>
          <w:sz w:val="20"/>
        </w:rPr>
        <w:t>Please use this opportunity to take part in our affairs by voting on the business to come before the Special Meeting</w:t>
      </w:r>
      <w:r>
        <w:rPr>
          <w:rFonts w:ascii="Times New Roman;Times;Serif" w:hAnsi="Times New Roman;Times;Serif"/>
          <w:b w:val="false"/>
          <w:i w:val="false"/>
          <w:caps w:val="false"/>
          <w:smallCaps w:val="false"/>
          <w:sz w:val="20"/>
        </w:rPr>
        <w:t>. Our Board has fixed the close of business on September 11, 2026, as the record date for the Special Meeting (the “Record Date”), and only stockholders of record as of the Record Date may vote at the Special Meeting and any postponements or adjournments of the meeting. All stockholders are cordially invited to participate in the Special Meeting and any postponements or adjournments thereof. Returning the paper proxy card or voting electronically does NOT deprive you of your right to participate in the virtual meeting and to vote your shares for the matters acted upon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recommends a vote </w:t>
      </w:r>
      <w:r>
        <w:rPr>
          <w:rFonts w:ascii="Times New Roman;Times;Serif" w:hAnsi="Times New Roman;Times;Serif"/>
          <w:b/>
          <w:i w:val="false"/>
          <w:caps w:val="false"/>
          <w:smallCaps w:val="false"/>
          <w:sz w:val="20"/>
        </w:rPr>
        <w:t xml:space="preserve">FOR </w:t>
      </w:r>
      <w:r>
        <w:rPr>
          <w:rFonts w:ascii="Times New Roman;Times;Serif" w:hAnsi="Times New Roman;Times;Serif"/>
          <w:b w:val="false"/>
          <w:i w:val="false"/>
          <w:caps w:val="false"/>
          <w:smallCaps w:val="false"/>
          <w:sz w:val="20"/>
        </w:rPr>
        <w:t>Proposals One and Two. For ten days prior to the Special Meeting, a complete list of stockholders entitled to vote at the meeting will be available for examination by any stockholder, for any purpose relating to the meeting, during ordinary business hours at our principal offices located at 2929 N. Commerce Parkway, Miramar, Florida 33025.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expect to attend and participate in the Special Meeting, please vote as soon as possible by submitting your proxy electronically via the internet or, if you requested paper copies of the proxy materials, by telephone by following the instructions in the proxy materials or by completing, signing and dating the proxy card and returning it in the enclosed postage paid envelope.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our Board, thank you for your participation in this important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Florida 33025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SPECIAL MEETING TO BE HELD ON OCTOBER 27, 2026: THE PROXY STATEMENT AND PROXY CARD ARE AVAILABLE FREE OF CHARGE AT </w:t>
      </w:r>
      <w:r>
        <w:rPr>
          <w:rFonts w:ascii="Times New Roman;Times;Serif" w:hAnsi="Times New Roman;Times;Serif"/>
          <w:b w:val="false"/>
          <w:i w:val="false"/>
          <w:caps w:val="false"/>
          <w:smallCaps w:val="false"/>
          <w:sz w:val="20"/>
          <w:u w:val="single"/>
        </w:rPr>
        <w:t>www.proxyvote.com</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362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1362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SPECIAL MEETING OF STOCKHOLDERS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October 27,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4"/>
        <w:gridCol w:w="60"/>
        <w:gridCol w:w="9251"/>
      </w:tblGrid>
      <w:tr>
        <w:trPr/>
        <w:tc>
          <w:tcPr>
            <w:tcW w:w="8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and Date:</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27, 2026 at 10:00 a.m., Eastern Time.</w:t>
            </w:r>
          </w:p>
        </w:tc>
      </w:tr>
      <w:tr>
        <w:trPr/>
        <w:tc>
          <w:tcPr>
            <w:tcW w:w="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a virtual meeting conducted exclusively online via live audio webcast on the internet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By logging onto this website with the control number included on your proxy card or voting instruction form at the designated time, stockholders and proxyholders of record as of the record date identified below may be deemed present in person and eligible to vote at the Special Meeting.</w:t>
            </w:r>
          </w:p>
        </w:tc>
      </w:tr>
      <w:tr>
        <w:trPr/>
        <w:tc>
          <w:tcPr>
            <w:tcW w:w="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of Business:</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approve, for purposes of Nasdaq Listing Rule 5635(d), the issuance of Common Warrants exercisable for up to 618,682 shares of the Company’s Common Stock pursuant to the Transaction Documents entered into by the Company and certain Investors in connection with the Company’s private placement financing completed on July 29, 2026; </w:t>
            </w:r>
          </w:p>
          <w:p>
            <w:pPr>
              <w:pStyle w:val="TableContents"/>
              <w:bidi w:val="0"/>
              <w:spacing w:before="0" w:after="0"/>
              <w:ind w:left="292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approve the Amended and Restated HCW Biologics Inc. 2021 Equity Incentive Plan, including the addition of a Special Reserve of shares of common stock authorized for issuance thereunder of 2,500,000 shares and other related amendments, such Special Reserve to be authorized and available for grants to eligible officers, directors and employees of the Company upon achievement of performance milestones set forth in the 2026 Special Reserve Plan; and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transact such other business as may properly come before the Special Meeting or any adjournment or postponement thereof.</w:t>
            </w:r>
          </w:p>
        </w:tc>
      </w:tr>
      <w:tr>
        <w:trPr/>
        <w:tc>
          <w:tcPr>
            <w:tcW w:w="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September 11, 2026 are entitled to notice of, and to vote at, the Special Meeting and any postponements or adjournments thereof.</w:t>
            </w:r>
          </w:p>
        </w:tc>
      </w:tr>
      <w:tr>
        <w:trPr/>
        <w:tc>
          <w:tcPr>
            <w:tcW w:w="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Voting</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that you own represents one vote.</w:t>
            </w:r>
          </w:p>
        </w:tc>
      </w:tr>
      <w:tr>
        <w:trPr/>
        <w:tc>
          <w:tcPr>
            <w:tcW w:w="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questions regarding your stock ownership, you may contact us through our website at </w:t>
            </w:r>
            <w:r>
              <w:rPr>
                <w:rFonts w:ascii="Times New Roman;Times;Serif" w:hAnsi="Times New Roman;Times;Serif"/>
                <w:b w:val="false"/>
                <w:i w:val="false"/>
                <w:caps w:val="false"/>
                <w:smallCaps w:val="false"/>
                <w:sz w:val="20"/>
                <w:u w:val="single"/>
              </w:rPr>
              <w:t>https://investors.hcwbiologics.com/ir-resources/contact-us</w:t>
            </w:r>
            <w:r>
              <w:rPr>
                <w:rFonts w:ascii="Times New Roman;Times;Serif" w:hAnsi="Times New Roman;Times;Serif"/>
                <w:b w:val="false"/>
                <w:i w:val="false"/>
                <w:caps w:val="false"/>
                <w:smallCaps w:val="false"/>
                <w:sz w:val="20"/>
              </w:rPr>
              <w:t xml:space="preserve"> or email us at </w:t>
            </w:r>
            <w:r>
              <w:rPr>
                <w:rFonts w:ascii="Times New Roman;Times;Serif" w:hAnsi="Times New Roman;Times;Serif"/>
                <w:b w:val="false"/>
                <w:i w:val="false"/>
                <w:caps w:val="false"/>
                <w:smallCaps w:val="false"/>
                <w:sz w:val="20"/>
                <w:u w:val="single"/>
              </w:rPr>
              <w:t>info@hcwbiologics.com</w:t>
            </w:r>
            <w:r>
              <w:rPr>
                <w:rFonts w:ascii="Times New Roman;Times;Serif" w:hAnsi="Times New Roman;Times;Serif"/>
                <w:b w:val="false"/>
                <w:i w:val="false"/>
                <w:caps w:val="false"/>
                <w:smallCaps w:val="false"/>
                <w:sz w:val="20"/>
              </w:rPr>
              <w:t xml:space="preserve">, or, if you are a registered holder, contact our transfer agent, Equiniti Trust Company, LLC, through its website at </w:t>
            </w:r>
            <w:r>
              <w:rPr>
                <w:rFonts w:ascii="Times New Roman;Times;Serif" w:hAnsi="Times New Roman;Times;Serif"/>
                <w:b w:val="false"/>
                <w:i w:val="false"/>
                <w:caps w:val="false"/>
                <w:smallCaps w:val="false"/>
                <w:sz w:val="20"/>
                <w:u w:val="single"/>
              </w:rPr>
              <w:t>www.equiniti.com</w:t>
            </w:r>
            <w:r>
              <w:rPr>
                <w:rFonts w:ascii="Times New Roman;Times;Serif" w:hAnsi="Times New Roman;Times;Serif"/>
                <w:b w:val="false"/>
                <w:i w:val="false"/>
                <w:caps w:val="false"/>
                <w:smallCaps w:val="false"/>
                <w:sz w:val="20"/>
              </w:rPr>
              <w:t xml:space="preserve"> or by phone at (800) 937-5449.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Founder and Chief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Whether or not you expect to participate in the virtual Special Meeting, please vote as promptly as possible in order to ensure your representation at the Special Meeting. You may vote online or, if you received printed copies of the proxy materials, by telephone or by using the proxy card or voting instruction form provided with the printed proxy materials.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9500"/>
        <w:gridCol w:w="455"/>
      </w:tblGrid>
      <w:tr>
        <w:trPr/>
        <w:tc>
          <w:tcPr>
            <w:tcW w:w="950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500" w:type="dxa"/>
            <w:tcBorders/>
            <w:shd w:fill="CCEEFF" w:val="clear"/>
            <w:vAlign w:val="center"/>
          </w:tcPr>
          <w:p>
            <w:pPr>
              <w:pStyle w:val="TableContents"/>
              <w:bidi w:val="0"/>
              <w:spacing w:before="0" w:after="283"/>
              <w:jc w:val="both"/>
              <w:rPr/>
            </w:pPr>
            <w:hyperlink w:anchor="JA_001">
              <w:r>
                <w:rPr>
                  <w:rStyle w:val="InternetLink"/>
                  <w:rFonts w:ascii="Times New Roman;Times;Serif" w:hAnsi="Times New Roman;Times;Serif"/>
                  <w:b w:val="false"/>
                  <w:i w:val="false"/>
                  <w:caps w:val="false"/>
                  <w:smallCaps w:val="false"/>
                  <w:sz w:val="20"/>
                </w:rPr>
                <w:t>INFORMATION ABOUT SOLICITATION AND VOTING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0" w:type="dxa"/>
            <w:tcBorders/>
            <w:shd w:fill="CCEEFF" w:val="clear"/>
            <w:vAlign w:val="center"/>
          </w:tcPr>
          <w:p>
            <w:pPr>
              <w:pStyle w:val="TableContents"/>
              <w:bidi w:val="0"/>
              <w:spacing w:before="0" w:after="283"/>
              <w:jc w:val="both"/>
              <w:rPr/>
            </w:pPr>
            <w:hyperlink w:anchor="JA_003">
              <w:r>
                <w:rPr>
                  <w:rStyle w:val="InternetLink"/>
                  <w:rFonts w:ascii="Times New Roman;Times;Serif" w:hAnsi="Times New Roman;Times;Serif"/>
                  <w:b w:val="false"/>
                  <w:i w:val="false"/>
                  <w:caps w:val="false"/>
                  <w:smallCaps w:val="false"/>
                  <w:sz w:val="20"/>
                </w:rPr>
                <w:t>QUESTIONS AND ANSWERS ABOUT PROXY MATERIALS, VOTING, AND THE MEETING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5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0" w:type="dxa"/>
            <w:tcBorders/>
            <w:shd w:fill="CCEEFF" w:val="clear"/>
            <w:vAlign w:val="center"/>
          </w:tcPr>
          <w:p>
            <w:pPr>
              <w:pStyle w:val="TableContents"/>
              <w:bidi w:val="0"/>
              <w:spacing w:before="0" w:after="283"/>
              <w:jc w:val="both"/>
              <w:rPr/>
            </w:pPr>
            <w:hyperlink w:anchor="JA_004">
              <w:r>
                <w:rPr>
                  <w:rStyle w:val="InternetLink"/>
                  <w:rFonts w:ascii="Times New Roman;Times;Serif" w:hAnsi="Times New Roman;Times;Serif"/>
                  <w:b w:val="false"/>
                  <w:i w:val="false"/>
                  <w:caps w:val="false"/>
                  <w:smallCaps w:val="false"/>
                  <w:sz w:val="20"/>
                </w:rPr>
                <w:t>PROPOSAL ONE: ISSUANCE OF SHARES IN EXCESS OF EXCHANGE CAP PROPOSAL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5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0" w:type="dxa"/>
            <w:tcBorders/>
            <w:shd w:fill="CCEEFF" w:val="clear"/>
            <w:vAlign w:val="center"/>
          </w:tcPr>
          <w:p>
            <w:pPr>
              <w:pStyle w:val="TableContents"/>
              <w:bidi w:val="0"/>
              <w:spacing w:before="0" w:after="0"/>
              <w:ind w:left="0" w:right="0" w:hanging="0"/>
              <w:jc w:val="both"/>
              <w:rPr/>
            </w:pPr>
            <w:hyperlink w:anchor="JA_005">
              <w:r>
                <w:rPr>
                  <w:rStyle w:val="InternetLink"/>
                  <w:rFonts w:ascii="Times New Roman;Times;Serif" w:hAnsi="Times New Roman;Times;Serif"/>
                  <w:b w:val="false"/>
                  <w:i w:val="false"/>
                  <w:caps w:val="false"/>
                  <w:smallCaps w:val="false"/>
                  <w:sz w:val="20"/>
                </w:rPr>
                <w:t>PROPOSAL TWO: AMENDED AND RESTATED 2021 EQUITY PLAN AND ISSUANCE OF ADDITIONAL SHARES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5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0" w:type="dxa"/>
            <w:tcBorders/>
            <w:shd w:fill="CCEEFF" w:val="clear"/>
            <w:vAlign w:val="center"/>
          </w:tcPr>
          <w:p>
            <w:pPr>
              <w:pStyle w:val="TableContents"/>
              <w:bidi w:val="0"/>
              <w:spacing w:before="0" w:after="283"/>
              <w:jc w:val="both"/>
              <w:rPr/>
            </w:pPr>
            <w:hyperlink w:anchor="JA_007">
              <w:r>
                <w:rPr>
                  <w:rStyle w:val="InternetLink"/>
                  <w:rFonts w:ascii="Times New Roman;Times;Serif" w:hAnsi="Times New Roman;Times;Serif"/>
                  <w:b w:val="false"/>
                  <w:i w:val="false"/>
                  <w:caps w:val="false"/>
                  <w:smallCaps w:val="false"/>
                  <w:sz w:val="20"/>
                </w:rPr>
                <w:t>HOUSEHOLDING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50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00" w:type="dxa"/>
            <w:tcBorders/>
            <w:shd w:fill="CCEEFF" w:val="clear"/>
            <w:vAlign w:val="center"/>
          </w:tcPr>
          <w:p>
            <w:pPr>
              <w:pStyle w:val="TableContents"/>
              <w:bidi w:val="0"/>
              <w:spacing w:before="0" w:after="283"/>
              <w:jc w:val="both"/>
              <w:rPr/>
            </w:pPr>
            <w:hyperlink w:anchor="JA_008">
              <w:r>
                <w:rPr>
                  <w:rStyle w:val="InternetLink"/>
                  <w:rFonts w:ascii="Times New Roman;Times;Serif" w:hAnsi="Times New Roman;Times;Serif"/>
                  <w:b w:val="false"/>
                  <w:i w:val="false"/>
                  <w:caps w:val="false"/>
                  <w:smallCaps w:val="false"/>
                  <w:sz w:val="20"/>
                </w:rPr>
                <w:t>OTHER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Private Securities Litigation Reform Act of 1995, as amended, that are based on expectations, estimates and projections as of the date of this proxy statement. All statements other than statements of historical facts contained in this proxy statement, including statements regarding effecting a reverse stock split, the timing of a reverse stock split, the principal effects of a reverse stock split, and the intended benefits of a reverse stock split, are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“anticipate,” “believe,” “could,” “expect,” “forecast,” “intend,” “may,” “plan,” “potential,” “should,” “will,” “would,” and similar expressions are intended to identify forward-looking statements. These forward-looking statements are subject to certain risks and uncertainties that could cause actual results to differ materially from anticipated results,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issuance of the Common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Amended and Restated HCW Biologics Inc. 2021 Equity Incentive Plan and 2026 Special Reserve Plan;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listing standards of 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proxy statement. We have based these forward-looking statements largely on our current expectations about future events. These forward-looking statements are subject to a number of risks, uncertainties and assumptions, including those described under the heading, “Certain Risks and Potential Disadvantages” in each of Proposals 1 and 2 and in our other filings with the Securities and Exchange Commission. In light of these risks, uncertainties and assumptions, the forward-looking events and circumstances discussed in this proxy statement may not occur and actual results could differ materially and adversely from those anticipated or implied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proxy statement to conform these statements to actual results or to changes in our expectations.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MONDAY, OCTOBER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JA_001"/>
      <w:bookmarkEnd w:id="2"/>
      <w:r>
        <w:rPr>
          <w:rFonts w:ascii="Times New Roman;Times;Serif" w:hAnsi="Times New Roman;Times;Serif"/>
          <w:b/>
          <w:i w:val="false"/>
          <w:caps w:val="false"/>
          <w:smallCaps w:val="false"/>
          <w:sz w:val="20"/>
        </w:rPr>
        <w:t>INFORMATION ABOUT SOLICITATION AND VOTING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proxy is solicited on behalf of the board of directors of HCW Biologics Inc. (“HCW Biologics”, “HCWB” or the “Company”) for use at HCW Biologics’ Special Meeting of Stockholders (the “Special Meeting” or “meeting”) to be held online on Tuesday, October 27, 2026 at 10:00 a.m., Eastern Time via live webcast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References in this proxy statement for the Special Meeting (the “Proxy Statement”), to “we,” “us,” “our,” the “Company,” “HCWB” or “HCW Biologics” refer to 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JA_002"/>
      <w:bookmarkEnd w:id="3"/>
      <w:r>
        <w:rPr>
          <w:rFonts w:ascii="Times New Roman;Times;Serif" w:hAnsi="Times New Roman;Times;Serif"/>
          <w:b/>
          <w:i w:val="false"/>
          <w:caps w:val="false"/>
          <w:smallCaps w:val="false"/>
          <w:sz w:val="20"/>
        </w:rPr>
        <w:t>INTERNET AVAILABILITY OF PROXY MATERIALS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begin the process of mailing, on or about September 15, 2026, the Proxy Statement, as well as the Notice of Internet Availability of Proxy Materials (the “Notice of Internet Availability”), to our stockholders of record and beneficial owners at the close of business on September 15, 2026. On the date of mailing of the Notice, all stockholders and beneficial owners will have the ability to access all of the proxy materials on a website referred to in the Notice of Internet Availability (in addition to receiving a hard copy of the proxy materials by mail). These proxy materials will be available free of charge.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Internet Availability will identify the website where the proxy materials will be made available; the date, the time and location of the Special Meeting; the matters to be acted upon at the meeting and our board of directors’ recommendations with regard to each matter; and information on how to participate in the meeting and vote in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JA_003"/>
      <w:bookmarkEnd w:id="4"/>
      <w:r>
        <w:rPr>
          <w:rFonts w:ascii="Times New Roman;Times;Serif" w:hAnsi="Times New Roman;Times;Serif"/>
          <w:b/>
          <w:i w:val="false"/>
          <w:caps w:val="false"/>
          <w:smallCaps w:val="false"/>
          <w:sz w:val="20"/>
        </w:rPr>
        <w:t>QUESTIONS AND ANSWERS ABOUT PROXY MATERIALS, VOTING, AND THE MEETING</w:t>
      </w:r>
    </w:p>
    <w:p>
      <w:pPr>
        <w:pStyle w:val="TextBody"/>
        <w:bidi w:val="0"/>
        <w:spacing w:before="0" w:after="0"/>
        <w:jc w:val="center"/>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45"/>
        <w:gridCol w:w="3035"/>
      </w:tblGrid>
      <w:tr>
        <w:trPr/>
        <w:tc>
          <w:tcPr>
            <w:tcW w:w="2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0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stockholders will act upon the proposals described in this Proxy Statement. In addition, following the formal portion of the meeting, management will be available to respond to questions from stockholders.</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45"/>
        <w:gridCol w:w="34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included in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230"/>
        <w:gridCol w:w="20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materials include:</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35"/>
        <w:gridCol w:w="230"/>
        <w:gridCol w:w="7025"/>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Special Meeting of Stockholders;</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Statement;</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 (Form of Common Stock Purchase Warrant); and</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B (Amended and Restated HCW Biologics Inc. 2021 Equity Incentive Plan)</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7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Appendix C (2026 Special Reserve Plan)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received printed versions of these materials by mail (rather than through electronic delivery), the materials also included a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245"/>
        <w:gridCol w:w="51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1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are scheduled to be voted on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230"/>
        <w:gridCol w:w="630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be asked to vote on the following proposals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for purposes of Nasdaq Listing Rule 5635(d), the issuance of Common Warrants exercisable for up to 618,682 shares of the Company’s Common Stock pursuant to the Transaction Documents entered into by the Company and certain Investors in connection with the Company’s private placement financing completed on July 29, 2026;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the Amended and Restated HCW Biologics Inc. 2021 Equity Incentive Plan, including the addition of a Special Reserve of shares of common stock authorized for issuance thereunder of 2,500,000 shares and other related amendments, such Special Reserve to be authorized and available for grants to eligible officers, directors and employees of the Company upon achievement of performance milestones set forth in the 2026 Special Reserve Plan. </w:t>
            </w:r>
          </w:p>
        </w:tc>
      </w:tr>
    </w:tbl>
    <w:p>
      <w:pPr>
        <w:pStyle w:val="TextBody"/>
        <w:bidi w:val="0"/>
        <w:spacing w:before="0" w:after="0"/>
        <w:ind w:left="1918" w:right="0" w:hanging="39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stockholders may be asked to transact any other business as may properly come before the Special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245"/>
        <w:gridCol w:w="72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7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Could matters other than Proposal One and Proposal Two be decided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that we receive advance notice of any proposal to be brought before the meeting by stockholders of HCW Biologics, and we have not received notice of any such proposals. If any other matter were to come before the meeting, the proxy holders appointed by our board of directors will have the discretion to vote on those matters for you.</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45"/>
        <w:gridCol w:w="60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6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of directors recommend I vote on these proposals ?</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230"/>
        <w:gridCol w:w="50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recommends that you vote your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approval of the issuance of the Common Warrants (Proposal 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center"/>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FOR” approval of the Amended and Restated HCW Biologics Inc. 2021 Equity Incentive Plan and 2026 Special Reserve Plan (Proposal Two). </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0"/>
        <w:gridCol w:w="32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access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mailing the Special Meeting proxy materials to our stockholders and also providing access to those materials over the Internet. In connection with this process, a Notice of Internet Availability is being mailed to our stockholders who have not previously requested electronic access to our proxy materials or paper proxy materials. The Notice of Internet Availability contains instructions on how you may access and review our proxy materials on the internet and how you may submit a proxy for your shares over the internet. The Notice of Internet Availability will also tell you how to request our proxy materials in printed form or by email, at no charge. The Notice of Internet Availability contains a control number that you will need to submit a proxy for your shares. Please keep the Notice for your reference through the meeting date. Anyone attending the Special Meeting must observe the rules approved by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245"/>
        <w:gridCol w:w="32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record as of the close of business on September 11, 2026, (the “Record Date”), are entitled to receive notice of, to attend and participate, and to vote at the Special Meeting. At the close of business on the Record Date, there were [●] shares of our Common Stock outstanding and entitled to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our transfer agent, Equiniti Trust Company, LLC, you are considered the stockholder of record with respect to those shares, and these proxy materials were sent directly to you by HCW Biologics.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of Shares Held in Street Name: Shares Registered in the Name of a Broker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an account at a brokerage firm, bank, broker-dealer, or other similar organization, then you are the “beneficial owner” of shares held in “street name,” and these proxy materials were forwarded to you by that organization rather than from us. The organization holding your account is considered the stockholder of record for purposes of voting at the Special Meeting. As a beneficial owner, you have the right to instruct that organization on how to vote the shares held in your account. Because you are not the stockholder of record, you may not vote your shares at the Special Meeting unless you request and obtain a valid proxy from the organization that holds your shares giving you the right to vote the shares at the Special Meeting. Beneficial owners must obtain a valid proxy from the organization that holds their shares and present it to Equiniti Trust Company, LLC, at least two (2) weeks in advance of the Special Meeting.</w:t>
      </w:r>
    </w:p>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45"/>
        <w:gridCol w:w="13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230"/>
        <w:gridCol w:w="333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procedures for voting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of Record: Shares Registered in Your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the stockholder of record, you may vote your shares online during the virtual Special Meeting (see “How can I participate in the virtual Special Meeting?” below) or by proxy in advance of the Special Meeting by internet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by telephone (at 1-800-690-6903), or, if you requested and received a printed copy of the proxy materials, you may vote by mail by completing, signing and dating the enclosed proxy card and returning it in the enclosed prepaid envelope. Votes submitted by telephone or through the internet must be received by 11:59 p.m. Eastern Time, on October 26, 2026. If you vote by mail, your proxy card must be received before voting begins at the Special Meeting. Submitting your proxy, whether by telephone, through the internet or by mail will not affect your right to vote in person virtually should you decide to attend and participate in the meeting virtually.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 Shares Registered in the Name of a Broker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not the stockholder of record, please refer to the voting instructions provided by your nominee to direct it how to vote your shares. The voting deadlines and availability of telephone and internet voting for beneficial owners of shares will depend on the voting processes of the broker, bank or other nominee that holds your shares. Therefore, we urge you to carefully review and follow the voting instruction form and any other materials that you receive from that organization. To ensure that your vote is counted, complete and mail the voting instruction form provided by your brokerage firm, bank, or other nominee as directed by your nominee. To electronically vote in person virtually at the meeting online, you must obtain a legal proxy from your nominee. Follow the instructions from your nominee included with our proxy materials or contact your nominee to request a proxy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plan to participate in the Special Meeting, we urge you to vote by proxy to ensure that your vote is counted.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245"/>
        <w:gridCol w:w="20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shares can I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our Common Stock issued and outstanding as of the close of business on September 11, 2026 is entitled to vote on all items being voted on at the meeting. You may vote all shares owned by you as of September 11, 2026, including (1) shares held directly in your name as the stockholder of record, and (2) shares held for you as the beneficial owner in street name through a broker, bank, trustee, or other nominee.</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45"/>
        <w:gridCol w:w="36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am I entitled to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common stock is entitled to one vote for each share of common stock held as of September 11, 2026.</w:t>
            </w:r>
          </w:p>
        </w:tc>
      </w:tr>
      <w:tr>
        <w:trPr/>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6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 for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thirty-three and one third (33 1/3) percent of the voting power of the shares of our common stock entitled to vote at the Special Meeting as of the Record Date must be present in person virtually or represented by proxy at the Special Meeting in order to hold the Special Meeting and conduct business. This presence is called a quorum. Your shares are counted as present at the Special Meeting if you are present and vote in person virtually at the Special Meeting or if you have properly submitted a proxy.</w:t>
            </w:r>
          </w:p>
        </w:tc>
      </w:tr>
    </w:tbl>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45"/>
        <w:gridCol w:w="43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3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are abstentions and broker non-votes treated?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shares present at the Special Meeting and marked “abstain”) are deemed to be shares presented or represented by proxy and entitled to vote, and are counted for purposes of determining whether a quorum is present. Abstentions have no effect on Proposals One or Two.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beneficial owner of shares fails to provide the broker, bank or other nominee that holds the shares with specific instructions on how to vote on any “non-routine” matters brought to a vote at the stockholders meeting. In this situation, the broker, bank or other nominee will not vote on the “non-routine” matter. Broker non-votes are counted for purposes of determining whether a quorum is present and have no effect on the outcome of the matters voted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you are a beneficial holder, brokers and other nominees will be entitled to vote your shares on “routine” matters without instructions from you. A broker or other nominee will not be entitled to vote your shares on any “non-routine” matters, absent instructions from you.</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Non-routine” matters include Proposals One and Two. Accordingly, we encourage you to provide voting instructions to your broker or other nominee, regardless of whether or not you plan to attend the meeting.</w:t>
      </w:r>
    </w:p>
    <w:p>
      <w:pPr>
        <w:pStyle w:val="TextBody"/>
        <w:bidi w:val="0"/>
        <w:spacing w:before="0" w:after="0"/>
        <w:ind w:left="36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vote required for each proposal?</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230"/>
        <w:gridCol w:w="471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votes required to approve the proposal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170"/>
        <w:gridCol w:w="9808"/>
      </w:tblGrid>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Approval will be obtained if the number of votes cast “FOR” the proposal at the Special Meeting exceeds the number of votes “AGAINST” the proposal.</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Approval will be obtained if the number of votes cast “FOR” the proposal at the Special Meeting exceeds the number of votes “AGAINST” the proposal.</w:t>
            </w:r>
          </w:p>
        </w:tc>
      </w:tr>
      <w:tr>
        <w:trPr/>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7"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8"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submit a proxy, how will it be voted?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proxies are properly dated, executed and returned, the shares represented by such proxies will be voted at the Special Meeting in accordance with the instructions of the stockholder. If no specific instructions are given, the shares will be voted in accordance with the recommendations of our board of directors as described above. If any matters not described in the Proxy Statement are properly presented at the Special Meeting, the proxy holders will use their own judgment to determine how to vote your shares. If the Special Meeting is postponed or adjourned, the proxy holders can vote your shares on the new meeting date as well, unless you have revoked your proxy instructions, as described below under “Can I change my vote or revoke my proxy?”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245"/>
        <w:gridCol w:w="666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6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get more than one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receive more than one set of voting materials, including multiple copies of the proxy materials, proxy cards or voting instruction forms. For example, stockholders who hold shares in more than one brokerage account may receive separate sets of proxy materials for each brokerage account in which shares are held. Stockholders of record whose shares are registered in more than one name will receive more than one set of proxy materials. You should vote in accordance with all of the proxy cards and voting instruction forms you receive relating to our Special Meeting to ensure that all of your shares are voted and counted.</w:t>
            </w:r>
          </w:p>
        </w:tc>
      </w:tr>
      <w:tr>
        <w:trPr/>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100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10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my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or revoke your proxy at any time prior to the taking of the vote or the polls closing at the Special Meeting.</w:t>
            </w:r>
          </w:p>
        </w:tc>
      </w:tr>
    </w:tbl>
    <w:p>
      <w:pPr>
        <w:pStyle w:val="TextBody"/>
        <w:bidi w:val="0"/>
        <w:spacing w:before="0" w:after="0"/>
        <w:ind w:left="162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stockholder of record, you may change your vote by: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a new proxy bearing a later date (which automatically revokes the earlier proxy) using any of the methods described above (and until the applicable deadline for each method);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 written notice of revocation to HCW Biologics’ Secretary at HCW Biologics Inc., 2929 N. Commerce Parkway, Miramar, Florida 33025, prior to your shares being voted,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participating in the Special Meeting and voting electronically online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Participation alone at the Special Meeting will not cause your previously granted proxy to be revoked unless you specifically vote during the meeting online at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however, that if your shares are held of record by a broker, bank or other nominee and you wish to evoke a proxy, you must contact that firm to revoke any prior voting instructions.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45"/>
        <w:gridCol w:w="45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5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participate in the virtual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physical location for the Special Meeting. Stockholders of record as of the close of business on the Record Date are entitled to participate virtually in the Special Meeting, including to vote, ask questions and view the list of registered stockholders as of the record date during the Special Meeting by visiting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To participate and vote in the Special Meeting, you will need the control number included on your proxy card or voting instruction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ensuring, to the extent possible, that stockholders will be given the same participation rights that they would be given if they attended an in-person meeting. We will endeavor to answer as many stockholder-submitted questions as time permits that comply with the Special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webcast will begin promptly at 10:00 a.m., Eastern Time. Online check-in will begin at 9:45 a.m., Eastern Time, and we encourage you to allow ample time for check-in procedures. If you experience technical difficulties during the check-in process or during the meeting, please call the technical support number provided on the log-in page of the virtual meeting. Additional information regarding the rules and procedures for participating in the Special Meeting will be set forth in our meeting rules of conduct, which stockholders can view during the meeting at the meeting website. Regardless of whether you plan to participate in the Special Meeting, it is important that your shares be represented and voted at the Special Meeting. Accordingly, we encourage you to vote in advance of the Special Meeting. Please be aware that participating in the Special Meeting will not, by itself, revoke a proxy. See, “Can I change my vote or revoke my proxy?” above for more details.</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45"/>
        <w:gridCol w:w="39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submit questions during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may submit questions during the Special Meeting by visiting </w:t>
            </w:r>
            <w:r>
              <w:rPr>
                <w:rFonts w:ascii="Times New Roman;Times;Serif" w:hAnsi="Times New Roman;Times;Serif"/>
                <w:b w:val="false"/>
                <w:i w:val="false"/>
                <w:caps w:val="false"/>
                <w:smallCaps w:val="false"/>
                <w:sz w:val="20"/>
                <w:u w:val="single"/>
              </w:rPr>
              <w:t>www.virtualshareholdermeeting.com/HCWB2026SM2</w:t>
            </w:r>
            <w:r>
              <w:rPr>
                <w:rFonts w:ascii="Times New Roman;Times;Serif" w:hAnsi="Times New Roman;Times;Serif"/>
                <w:b w:val="false"/>
                <w:i w:val="false"/>
                <w:caps w:val="false"/>
                <w:smallCaps w:val="false"/>
                <w:sz w:val="20"/>
              </w:rPr>
              <w:t xml:space="preserve"> and using their 16-digit control number to enter the meeting. Questions may be submitted by typing them into the text box provided.</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7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there a list of stockholders entitled to vote at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period of ten (10) days ending on the day before the meeting, the names of stockholders of record entitled to vote will be available for inspection by stockholders for any purpose germane to the meeting between the hours of 9:00 a.m. and 5:00 p.m., local time, at our offices located at 2929 N. Commerce Parkway, Miramar, Florida 33025. Please send a written request to our Secretary at HCW Biologics Inc., 2929 N. Commerce Parkway, Miramar, Florida 33025, or email legal@HCWBiologics.com to schedule an appointment. This list will also be available for inspection during the Special Meeting at www.virtualshareholdermeeting.com/HCWB2026SM2.</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45"/>
        <w:gridCol w:w="24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tabulate the votes?</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30"/>
        <w:gridCol w:w="996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representative of the Company will serve as the Inspector of Elections and will tabulate the votes at the Special Meeting.</w:t>
            </w:r>
          </w:p>
        </w:tc>
      </w:tr>
    </w:tbl>
    <w:p>
      <w:pPr>
        <w:pStyle w:val="TextBody"/>
        <w:bidi w:val="0"/>
        <w:spacing w:before="0" w:after="0"/>
        <w:ind w:left="36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245"/>
        <w:gridCol w:w="49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49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preliminary voting results at the Special Meeting. We will also disclose voting results on a Current Report on Form 8-K that we will file with the SEC within four business days after the Special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997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share an address with another stockholder, and we received only one paper copy of the proxy materials. How may I obtain an additional copy of the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we deliver a single copy of the Notice of Internet Availability and, if applicable, our proxy materials to multiple stockholders who share the same address, unless we have received contrary instructions from one or more of such stockholders. Please see the section titled “Householding” for information on how to obtain additional copies of proxy materials.</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245"/>
        <w:gridCol w:w="89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8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questions about my HCW Biologics shares or need to change my mailing or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contact our transfer agent, Equiniti Trust Company, LLC, by telephone at (800) 937-5449, through its website at </w:t>
            </w:r>
            <w:r>
              <w:rPr>
                <w:rFonts w:ascii="Times New Roman;Times;Serif" w:hAnsi="Times New Roman;Times;Serif"/>
                <w:b w:val="false"/>
                <w:i w:val="false"/>
                <w:caps w:val="false"/>
                <w:smallCaps w:val="false"/>
                <w:sz w:val="20"/>
                <w:u w:val="single"/>
              </w:rPr>
              <w:t>www.equiniti.com</w:t>
            </w:r>
            <w:r>
              <w:rPr>
                <w:rFonts w:ascii="Times New Roman;Times;Serif" w:hAnsi="Times New Roman;Times;Serif"/>
                <w:b w:val="false"/>
                <w:i w:val="false"/>
                <w:caps w:val="false"/>
                <w:smallCaps w:val="false"/>
                <w:sz w:val="20"/>
              </w:rPr>
              <w:t xml:space="preserve"> or by U.S. mail at 55 Challenger Road, 2nd Floor, Ridgefield Park, New Jersey 07660, if you have questions about your HCW Biologics shares or need to change your mailing or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45"/>
        <w:gridCol w:w="3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need to change my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need to change the email address that we use to mail proxy materials to you or if you wish to sign up to receive future mailings via email, please go to the website provided on your proxy card or voting instruction card, to request to receive materials solely by electronic delivery in the future and supply the appropriate email address.</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245"/>
        <w:gridCol w:w="59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w:t>
            </w:r>
          </w:p>
        </w:tc>
        <w:tc>
          <w:tcPr>
            <w:tcW w:w="5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proxy and paying for the expense of solicitation?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for the Special Meeting is being solicited on behalf of our board of directors. We will pay the cost of preparing and distributing these proxy materials and soliciting votes. We may, on request, reimburse brokerage firms and other nominees for their expenses in forwarding proxy materials to beneficial owners. In addition to soliciting proxies electronically, we expect that our directors, officers and employees may solicit proxies in person or by telephone, mailings, emails or otherwise. None of these individuals will receive any additional or special compensation for doing this, although we may reimburse these individuals for their reasonable out-of-pocket expenses.  We expect to retain Advantage Proxy to solicit votes on behalf of our board of directors.  If you choose to access the proxy materials or vote via the internet or by phone, you are responsible for any internet access or phone charges you may incur.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JA_004"/>
      <w:bookmarkEnd w:id="5"/>
      <w:r>
        <w:rPr>
          <w:rFonts w:ascii="Times New Roman;Times;Serif" w:hAnsi="Times New Roman;Times;Serif"/>
          <w:b/>
          <w:i w:val="false"/>
          <w:caps w:val="false"/>
          <w:smallCaps w:val="false"/>
          <w:sz w:val="20"/>
        </w:rPr>
        <w:t>PROPOSAL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APPROVAL OF THE ISSUANCE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BE ISSUED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CONNECTION WITH THE JULY 2026 PRIVATE PLACEMENT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Securities Purchase Agreement, dated July 29, 2026 (the “SPA”), with Armistice Capital Master Fund Ltd. (“Armistice”), along with certain existing inside investors, pursuant to which we agreed to offer and sell, in a private placement offering (the “Offering”), 618,682 units (the “Units”), each consisting of (i) one share of our Common Stock or one pre-funded warrant (the “Pre-Funded Warrants”) to purchase one share of our common stock (the “Common Stock”) and (ii) the right to receive one common warrant to purchase one share of our Common Stock (the “Common Warrants”), subject to stockholder approval thereof. The SPA and forms of Pre-Funded Warrant and Common Warrant are referred to herein together as the “Transaction Documents.” The Common Warrants are issuable only upon the receipt of stockholder approval. The Offering closed on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rules, we may not issue shares of our Common Stock upon exercise of the Common Warrants to the extent that such issuance would exceed 19.99% of the shares of our Common Stock outstanding immediately prior to the execution of the SPA (the “Exchange Cap”), unless we obtain stockholder approval in accordance with Nasdaq Listing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ability to issue shares of our Common Stock upon exercise of the Common Warrants may be limited unless and until our stockholders approve the issuance of shares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Does the Company Need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and, as such, we are subject to the Nasdaq Listing Rules. Nasdaq Listing Rule 5635(d) is referred to as the “Nasdaq 20% Rule.” In order to comply with the Nasdaq 20% Rule, we are seeking stockholder approval to permit the potential issuance of more than 19.99% of our outstanding Common Stock upon exercise of the Common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20% Rule requires that an issuer obtain stockholder approval prior to certain issuances of common stock or securities convertible into or exchangeable for common stock at a price less than the greater of market value or book value of such securities (on an as-exercised basis) if such issuance equals 20% or more of the common stock or voting power of the issuer outstanding before the transaction. Upon entering into the SPA, we could not issue shares of Common Stock upon exercise of the Common Warrants to the extent that, after giving effect thereto, the aggregate number of shares of Common Stock issuable upon exercise of the Common Warrants would exceed 319,370 shares (representing approximately 19.99% of the shares of Common Stock issued and outstanding immediately prior to the execution of the SPA), unless the Company’s stockholders approved the issuance of Common Stock in excess of the Exchange Cap in accordance with the applicable rules of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 Nasdaq 20% Rule, we are seeking stockholder approval to permit the issuance of shares of Common Stock upon exercise of the Common Warrants in excess of the Exchange Cap in accordance with the terms of the SPA and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One is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we will be able to issue shares of Common Stock upon exercise of the Common Warrants in excess of the Exchange Cap and therefore may issue up to 618,682 shares of Common Stock upon exercise of the Common Warrants. Shares issued upon exercise of the Common Warrants will have the same rights and privileges as our currently outstanding Common Stock. If stockholders approve Proposal One, the rights or privileges of our existing stockholders will not be affected, except that the economic and voting interests of each of our existing stockholders will be diluted as a result of the exercise of the Common Warrants.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One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One, the Common Warrants will remain outstanding but will not be exercisable to the extent such exercise would exceed the Exchange Cap, which may reduce the likelihood that the Company receives additional capital upon exercise of the Common Warrants and may limit the financing benefits anticipated from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Proposal One requires the affirmative vote of a majority of the votes cast by stockholders present in person or represented by proxy and entitled to vote on the proposal at the Special Meeting. If Proposal One is determined by the inspector of elections to be a “votes cast” matter, abstentions and broker non-votes will have no effect on the outcome of the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Proposal One.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JA_005"/>
      <w:bookmarkEnd w:id="6"/>
      <w:r>
        <w:rPr>
          <w:rFonts w:ascii="Times New Roman;Times;Serif" w:hAnsi="Times New Roman;Times;Serif"/>
          <w:b/>
          <w:i w:val="false"/>
          <w:caps w:val="false"/>
          <w:smallCaps w:val="false"/>
          <w:sz w:val="20"/>
        </w:rPr>
        <w:t>PROPOSAL TWO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AMENDED AND RESTATED 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2021 EQUITY INCENTIVE PLAN AND 2026 SPECIAL RESERVE PLAN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Information.</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to amend our HCW Biologics Inc. 2021 Equity Incentive Plan (“Amended and Restated 2021 EIP”) and to authorize our Compensation Committee to make grants from the Special Reserve established thereunder pursuant to, and subject to the restrictions contained in, the 2026 Special Reserve Plan. The Special Reserve increases the available shares under the plan by 2,500,000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 Are Requesting Your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established an equity incentive plan prior to effecting our initial public offering, and there have been no changes to the plan since that time. Currently, existing options granted and held by our officers, directors and employees are significantly underwater, with exercise prices that dilute the strength of the incentive to retain our talent. We propose an Amended and Restated HCW Biologics Inc. 2021 Equity Incentive Plan and 2026 Special Reserve Plan to establish a performance-based equity awards program that is keyed to our stock price, with grants of equity awarded to eligible officers, directors and employees made when our stockholders have a meaningful increase in the value of their investment. Once granted, we plan to have a service period for up to 2 years to complete vesting. The Special Reserve will be fixed at 2,500,000 shares unless and until stockholders approve an increase to this reserve. Awards will be made based on the recommendations of the Compensation Committee of the Company’s Board of Directors and approved by the Board of Directors. We are eliminating the “evergreen” provision from the current plan, and the reserve will be fixed at 2,500,000 shares until stockholders approve an increase to this reserve.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has initiated a clinical trial for our lead therapeutic, HCW9302, demonstrating promising results in alopecia areata. Despite advancing our clinical and research and development programs, the Company has struggled to obtain financing and maintain our Nasdaq listing, creating additional challenges. To address these circumstances and maintain our Nasdaq listing, HCW Biologics has undergone two reverse stock splits. These measures reduced the number of shares available for future equity grants under the Amended and Restated 2021 EIP and limited our flexibility to use equity-based compensation as a component of our overall compensation program.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this amendment is important 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Attract, motivate and retain executives, directors and employees,</w:t>
            </w:r>
            <w:r>
              <w:rPr>
                <w:rFonts w:ascii="Times New Roman;Times;Serif" w:hAnsi="Times New Roman;Times;Serif"/>
                <w:b w:val="false"/>
                <w:i w:val="false"/>
                <w:caps w:val="false"/>
                <w:smallCaps w:val="false"/>
                <w:sz w:val="20"/>
              </w:rPr>
              <w:t> whose commitment is vital to navigating these challenges and driving future success.</w:t>
            </w:r>
          </w:p>
        </w:tc>
      </w:tr>
    </w:tbl>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Preserve cash resources,</w:t>
            </w:r>
            <w:r>
              <w:rPr>
                <w:rFonts w:ascii="Times New Roman;Times;Serif" w:hAnsi="Times New Roman;Times;Serif"/>
                <w:b w:val="false"/>
                <w:i w:val="false"/>
                <w:caps w:val="false"/>
                <w:smallCaps w:val="false"/>
                <w:sz w:val="20"/>
              </w:rPr>
              <w:t> aligning executive, director and employee incentives directly with shareholder interests through equity compensation.</w:t>
            </w:r>
          </w:p>
        </w:tc>
      </w:tr>
    </w:tbl>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competitive compensation program and enhance our ability to recruit and retain qualified personnel in a highly competitive industry.</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believes that approval of Proposal Two is in the best interests of the Company and its stockholders because it will provide the Company with additional flexibility to grant equity awards that support the retention, motivation and recruitment of employees, executive officers and directors and align their interests with those of our stockholders. The Special Reserve Plan provides performance-based milestones where a set certain percent (i.e. 20%) of the Special Reserve of 2,500,000 shares will be issued to qualified employees, executives and directors only upon the Company reaching a performance milestone, which is set as a doubling of the market value of Common Stock. The Special Reserve Plan provides for granting of tranches, at the discretion of the Board and Compensation Committee, upon the Company’s stock price reaching sequential escalating market value of Common Stock. The granted options will vest after a service period of up to 2 years. The Special Reserve Plan is designed to award the Company’s employees, executives and directors at the same time that stockholders are rewarded with a doubling of the value of their shares.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Proposed Amendment to our 2021 Equity Incentive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21, 2021, our board of directors adopted our 2021 Equity Incentive Plan (the “2021 EIP”), which was then approved by the Company’s stockholders. As of the adoption date, our previous 2019 equity incentive plan was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EIP permits the grant of incentive stock options, nonstatutory stock options, stock appreciation rights, restricted stock, restricted stock units, and stock bonus awards. The 2021 EIP initially reserved 14,352 shares of Common Stock, including the transfer of remaining shares reserved under the 2019 equity incentive plan. In addition, the number of shares reserved for issuance under the 2021 EIP is eligible to increase automatically on the first day of each fiscal year beginning with the 2022 fiscal year.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Board approved, subject to shareholder approval, an amendment to increase the maximum number of shares of our Common Stock available for issuance under our 2021 EIP by 2,500,000 shares, such shares to be designated as a “Special Reserve,” grants of which are to be made pursuant to the 2026 Special Reserve Plan, and to eliminate the plan’s automatic annual share reserve increase provision. Other than the establishment of the Special Reserve and resulting increase in the total share reserve, the elimination of the automatic annual share reserve increase provision and related conforming changes, the material terms of the 2021 EIP will remain substantially unchanged.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do not approve this Proposal Two, the changes reflected in the Amended and Restated 2021 EIP, will not become effective and our 2021 EIP will remain in effect in accordance with its terms. In addition, if stockholders do not approve this Proposal Two, certain awards that are proposed to be granted to our employees, executives and directors contingent upon obtaining stockholder approval of our Amended and Restated 2021 EIP, will not be grantable. The material terms of our Amended and Restated 2021 EIP, are described under “Summary of our Amended and Restated 2021 EIP”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Seeking Shareholder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 are a key part of our compensation program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has been, and will continue to be, a critical component of our compensation program because it (i) contributes to a culture of ownership among our executives, directors and employees, (ii) aligns our executives, directors and employees’ interests with the interests of our stockholders and (iii) preserves our cash resources. It has been our practice to grant equity awards to substantially all of our full-time employees upon hire, to provide equity-based incentive compensation to executive officers and directors, and to make annual equity grants to our non-employee directors. We compete for talent in a highly competitive industry, often with larger pharmaceutical companies with greater resources. We believe that our ability to compensate with equity awards is essential to our efforts to attract and retain top talent, which we have been successful in doing to date. In addition, we have used equity compensation as a way to further tie the interests of our executive officers and other key employees with those of our stockholders through incentive bonuses in previous years.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 incentivize the achievement of key business objectives and increases in stockholder value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program primarily consists of stock options. We believe stock options are performance-based because no value is realized unless our stock price increases from the date of grant. We have also from time to time granted stock options that are subject to performance-based vesting conditions to incentivize the achievement of key business objectives or specific increases in stock price. We believe that equity awards have been and will continue to be critical to our success and that they play an important role in incentivizing employees across our Company to achieve our key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shares are necessary in order for us to meet our anticipated equity compensation needs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during 2024 and 2025 impacted our stock price and financial position. To address these circumstances, we implemented two reverse stock splits. As a result of these reverse stock splits, the number of shares available for future issuance under the 2021 EIP was significantly reduced. As of August 31, 2026, there were 15,704 shares remaining available for issuance under our 2021 EIP. If stockholders do not approve our Amended and Restated 2021 EIP, our ability to grant equity awards to our existing employees, executives, and directors, as well as any new hires, will be severely limited, which would place us at a competitive disadvantage. After a review of our historical practices and our anticipated future growth, we believe that the Special Reserve shares that would become available under our Amended and Restated 2021 EIP, if this proposal is approved, would enable us to grant equity awards based on stock performance, which is vital to our ability to attract and retain the talent required to support our continued growth in the extremely competitive labor market in which we compete. Although the Amended and Restated 2021 EIP increases the share reserve available under the plan, it also eliminates the automatic annual share reserve increase provision contained in the 2021 EIP.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Company has responsibly managed our 2021 EIP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share pool under our Amended and Restated 2021 EIP, the Board considered the historical number of equity awards granted by the Company over recent fiscal years. In 2026, 2025 and 2024, the Company made equity awards in respect of 0 shares, 67 shares, and 208 shares, respectively, under our 2021 EIP (assuming maximum performance, for awards subject to performance-based vesting). The Board considered the Company’s historical equity grant practices, current equity usage and anticipated future equity compensation needs in determining the proposed share reserve under the Amended and Restated 2021 EIP. The table below includes aggregate information regarding equity awards outstanding and the number of shares available for future awards under our 2021 EIP, as of August 31, 2026, and the number of shares that would be available for issuance under our Amended and Restated 2021 EIP, if this proposal is approved by stockholders.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following summarizes the Company’s stock option activity for the years ended</w:t>
      </w:r>
      <w:r>
        <w:rPr>
          <w:rFonts w:ascii="Times New Roman;Times;Serif" w:hAnsi="Times New Roman;Times;Serif"/>
          <w:b w:val="false"/>
          <w:i w:val="false"/>
          <w:caps w:val="false"/>
          <w:smallCaps w:val="false"/>
          <w:sz w:val="20"/>
        </w:rPr>
        <w:t xml:space="preserve"> December 31, 2024, 2025 and 2026:</w:t>
      </w:r>
    </w:p>
    <w:p>
      <w:pPr>
        <w:pStyle w:val="TextBody"/>
        <w:bidi w:val="0"/>
        <w:spacing w:before="0" w:after="0"/>
        <w:ind w:left="0" w:right="0" w:hanging="0"/>
        <w:jc w:val="left"/>
        <w:rPr>
          <w:caps w:val="false"/>
          <w:smallCaps w:val="false"/>
        </w:rPr>
      </w:pPr>
      <w:r>
        <w:rPr>
          <w:caps w:val="false"/>
          <w:smallCaps w:val="false"/>
        </w:rPr>
        <w:t> </w:t>
      </w:r>
    </w:p>
    <w:tbl>
      <w:tblPr>
        <w:tblW w:w="9357" w:type="dxa"/>
        <w:jc w:val="left"/>
        <w:tblInd w:w="0" w:type="dxa"/>
        <w:tblLayout w:type="fixed"/>
        <w:tblCellMar>
          <w:top w:w="0" w:type="dxa"/>
          <w:left w:w="0" w:type="dxa"/>
          <w:bottom w:w="0" w:type="dxa"/>
          <w:right w:w="0" w:type="dxa"/>
        </w:tblCellMar>
      </w:tblPr>
      <w:tblGrid>
        <w:gridCol w:w="3410"/>
        <w:gridCol w:w="120"/>
        <w:gridCol w:w="152"/>
        <w:gridCol w:w="752"/>
        <w:gridCol w:w="155"/>
        <w:gridCol w:w="120"/>
        <w:gridCol w:w="205"/>
        <w:gridCol w:w="849"/>
        <w:gridCol w:w="120"/>
        <w:gridCol w:w="120"/>
        <w:gridCol w:w="1970"/>
        <w:gridCol w:w="120"/>
        <w:gridCol w:w="203"/>
        <w:gridCol w:w="926"/>
        <w:gridCol w:w="135"/>
      </w:tblGrid>
      <w:tr>
        <w:trPr/>
        <w:tc>
          <w:tcPr>
            <w:tcW w:w="3410" w:type="dxa"/>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904" w:type="dxa"/>
            <w:gridSpan w:val="2"/>
            <w:tcBorders/>
            <w:vAlign w:val="center"/>
          </w:tcPr>
          <w:p>
            <w:pPr>
              <w:pStyle w:val="TableContents"/>
              <w:bidi w:val="0"/>
              <w:spacing w:before="0" w:after="283"/>
              <w:jc w:val="center"/>
              <w:rPr>
                <w:b/>
              </w:rPr>
            </w:pPr>
            <w:r>
              <w:rPr>
                <w:b/>
              </w:rPr>
              <w:t xml:space="preserve">Shares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054" w:type="dxa"/>
            <w:gridSpan w:val="2"/>
            <w:tcBorders/>
            <w:vAlign w:val="center"/>
          </w:tcPr>
          <w:p>
            <w:pPr>
              <w:pStyle w:val="TableContents"/>
              <w:bidi w:val="0"/>
              <w:spacing w:before="0" w:after="283"/>
              <w:jc w:val="center"/>
              <w:rPr>
                <w:b/>
              </w:rPr>
            </w:pPr>
            <w:r>
              <w:rPr>
                <w:b/>
              </w:rPr>
              <w:t xml:space="preserve">Weighted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970" w:type="dxa"/>
            <w:tcBorders/>
            <w:vAlign w:val="center"/>
          </w:tcPr>
          <w:p>
            <w:pPr>
              <w:pStyle w:val="TableContents"/>
              <w:bidi w:val="0"/>
              <w:spacing w:before="0" w:after="283"/>
              <w:jc w:val="center"/>
              <w:rPr>
                <w:b/>
              </w:rPr>
            </w:pPr>
            <w:r>
              <w:rPr>
                <w:b/>
              </w:rPr>
              <w:t xml:space="preserve">Weighted Average </w:t>
            </w:r>
          </w:p>
        </w:tc>
        <w:tc>
          <w:tcPr>
            <w:tcW w:w="120" w:type="dxa"/>
            <w:tcBorders/>
            <w:vAlign w:val="center"/>
          </w:tcPr>
          <w:p>
            <w:pPr>
              <w:pStyle w:val="TableContents"/>
              <w:bidi w:val="0"/>
              <w:spacing w:before="0" w:after="283"/>
              <w:jc w:val="left"/>
              <w:rPr/>
            </w:pPr>
            <w:r>
              <w:rPr/>
              <w:t xml:space="preserve">  </w:t>
            </w:r>
          </w:p>
        </w:tc>
        <w:tc>
          <w:tcPr>
            <w:tcW w:w="1129" w:type="dxa"/>
            <w:gridSpan w:val="2"/>
            <w:tcBorders/>
            <w:vAlign w:val="center"/>
          </w:tcPr>
          <w:p>
            <w:pPr>
              <w:pStyle w:val="TableContents"/>
              <w:bidi w:val="0"/>
              <w:spacing w:before="0" w:after="283"/>
              <w:jc w:val="center"/>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3410" w:type="dxa"/>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904" w:type="dxa"/>
            <w:gridSpan w:val="2"/>
            <w:tcBorders/>
            <w:vAlign w:val="center"/>
          </w:tcPr>
          <w:p>
            <w:pPr>
              <w:pStyle w:val="TableContents"/>
              <w:bidi w:val="0"/>
              <w:spacing w:before="0" w:after="283"/>
              <w:jc w:val="center"/>
              <w:rPr>
                <w:b/>
              </w:rPr>
            </w:pPr>
            <w:r>
              <w:rPr>
                <w:b/>
              </w:rPr>
              <w:t xml:space="preserve">Issuable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054" w:type="dxa"/>
            <w:gridSpan w:val="2"/>
            <w:tcBorders/>
            <w:vAlign w:val="center"/>
          </w:tcPr>
          <w:p>
            <w:pPr>
              <w:pStyle w:val="TableContents"/>
              <w:bidi w:val="0"/>
              <w:spacing w:before="0" w:after="283"/>
              <w:jc w:val="center"/>
              <w:rPr>
                <w:b/>
              </w:rPr>
            </w:pPr>
            <w:r>
              <w:rPr>
                <w:b/>
              </w:rPr>
              <w:t xml:space="preserve">Average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970" w:type="dxa"/>
            <w:tcBorders/>
            <w:vAlign w:val="center"/>
          </w:tcPr>
          <w:p>
            <w:pPr>
              <w:pStyle w:val="TableContents"/>
              <w:bidi w:val="0"/>
              <w:spacing w:before="0" w:after="283"/>
              <w:jc w:val="center"/>
              <w:rPr>
                <w:b/>
              </w:rPr>
            </w:pPr>
            <w:r>
              <w:rPr>
                <w:b/>
              </w:rPr>
              <w:t xml:space="preserve">Remaining </w:t>
            </w:r>
          </w:p>
        </w:tc>
        <w:tc>
          <w:tcPr>
            <w:tcW w:w="120" w:type="dxa"/>
            <w:tcBorders/>
            <w:vAlign w:val="center"/>
          </w:tcPr>
          <w:p>
            <w:pPr>
              <w:pStyle w:val="TableContents"/>
              <w:bidi w:val="0"/>
              <w:spacing w:before="0" w:after="283"/>
              <w:jc w:val="left"/>
              <w:rPr/>
            </w:pPr>
            <w:r>
              <w:rPr/>
              <w:t xml:space="preserve">  </w:t>
            </w:r>
          </w:p>
        </w:tc>
        <w:tc>
          <w:tcPr>
            <w:tcW w:w="1129" w:type="dxa"/>
            <w:gridSpan w:val="2"/>
            <w:tcBorders/>
            <w:vAlign w:val="center"/>
          </w:tcPr>
          <w:p>
            <w:pPr>
              <w:pStyle w:val="TableContents"/>
              <w:bidi w:val="0"/>
              <w:spacing w:before="0" w:after="283"/>
              <w:jc w:val="center"/>
              <w:rPr>
                <w:b/>
              </w:rPr>
            </w:pPr>
            <w:r>
              <w:rPr>
                <w:b/>
              </w:rPr>
              <w:t xml:space="preserve">Aggregate </w:t>
            </w:r>
          </w:p>
        </w:tc>
        <w:tc>
          <w:tcPr>
            <w:tcW w:w="135" w:type="dxa"/>
            <w:tcBorders/>
            <w:vAlign w:val="center"/>
          </w:tcPr>
          <w:p>
            <w:pPr>
              <w:pStyle w:val="TableContents"/>
              <w:bidi w:val="0"/>
              <w:spacing w:before="0" w:after="283"/>
              <w:jc w:val="left"/>
              <w:rPr/>
            </w:pPr>
            <w:r>
              <w:rPr/>
              <w:t xml:space="preserve">  </w:t>
            </w:r>
          </w:p>
        </w:tc>
      </w:tr>
      <w:tr>
        <w:trPr/>
        <w:tc>
          <w:tcPr>
            <w:tcW w:w="3410" w:type="dxa"/>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904" w:type="dxa"/>
            <w:gridSpan w:val="2"/>
            <w:tcBorders/>
            <w:vAlign w:val="center"/>
          </w:tcPr>
          <w:p>
            <w:pPr>
              <w:pStyle w:val="TableContents"/>
              <w:bidi w:val="0"/>
              <w:spacing w:before="0" w:after="283"/>
              <w:jc w:val="center"/>
              <w:rPr>
                <w:b/>
              </w:rPr>
            </w:pPr>
            <w:r>
              <w:rPr>
                <w:b/>
              </w:rPr>
              <w:t xml:space="preserve">under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054" w:type="dxa"/>
            <w:gridSpan w:val="2"/>
            <w:tcBorders/>
            <w:vAlign w:val="center"/>
          </w:tcPr>
          <w:p>
            <w:pPr>
              <w:pStyle w:val="TableContents"/>
              <w:bidi w:val="0"/>
              <w:spacing w:before="0" w:after="283"/>
              <w:jc w:val="center"/>
              <w:rPr>
                <w:b/>
              </w:rPr>
            </w:pPr>
            <w:r>
              <w:rPr>
                <w:b/>
              </w:rPr>
              <w:t xml:space="preserve">Exercise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970" w:type="dxa"/>
            <w:tcBorders/>
            <w:vAlign w:val="center"/>
          </w:tcPr>
          <w:p>
            <w:pPr>
              <w:pStyle w:val="TableContents"/>
              <w:bidi w:val="0"/>
              <w:spacing w:before="0" w:after="283"/>
              <w:jc w:val="center"/>
              <w:rPr>
                <w:b/>
              </w:rPr>
            </w:pPr>
            <w:r>
              <w:rPr>
                <w:b/>
              </w:rPr>
              <w:t xml:space="preserve">Contract </w:t>
            </w:r>
          </w:p>
        </w:tc>
        <w:tc>
          <w:tcPr>
            <w:tcW w:w="120" w:type="dxa"/>
            <w:tcBorders/>
            <w:vAlign w:val="center"/>
          </w:tcPr>
          <w:p>
            <w:pPr>
              <w:pStyle w:val="TableContents"/>
              <w:bidi w:val="0"/>
              <w:spacing w:before="0" w:after="283"/>
              <w:jc w:val="left"/>
              <w:rPr/>
            </w:pPr>
            <w:r>
              <w:rPr/>
              <w:t xml:space="preserve">  </w:t>
            </w:r>
          </w:p>
        </w:tc>
        <w:tc>
          <w:tcPr>
            <w:tcW w:w="1129" w:type="dxa"/>
            <w:gridSpan w:val="2"/>
            <w:tcBorders/>
            <w:vAlign w:val="center"/>
          </w:tcPr>
          <w:p>
            <w:pPr>
              <w:pStyle w:val="TableContents"/>
              <w:bidi w:val="0"/>
              <w:spacing w:before="0" w:after="283"/>
              <w:jc w:val="center"/>
              <w:rPr>
                <w:b/>
              </w:rPr>
            </w:pPr>
            <w:r>
              <w:rPr>
                <w:b/>
              </w:rPr>
              <w:t xml:space="preserve">Intrinsic </w:t>
            </w:r>
          </w:p>
        </w:tc>
        <w:tc>
          <w:tcPr>
            <w:tcW w:w="135" w:type="dxa"/>
            <w:tcBorders/>
            <w:vAlign w:val="center"/>
          </w:tcPr>
          <w:p>
            <w:pPr>
              <w:pStyle w:val="TableContents"/>
              <w:bidi w:val="0"/>
              <w:spacing w:before="0" w:after="283"/>
              <w:jc w:val="left"/>
              <w:rPr/>
            </w:pPr>
            <w:r>
              <w:rPr/>
              <w:t xml:space="preserve">  </w:t>
            </w:r>
          </w:p>
        </w:tc>
      </w:tr>
      <w:tr>
        <w:trPr/>
        <w:tc>
          <w:tcPr>
            <w:tcW w:w="3410" w:type="dxa"/>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Options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Price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970"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Term </w:t>
            </w:r>
          </w:p>
        </w:tc>
        <w:tc>
          <w:tcPr>
            <w:tcW w:w="120" w:type="dxa"/>
            <w:tcBorders/>
            <w:vAlign w:val="center"/>
          </w:tcPr>
          <w:p>
            <w:pPr>
              <w:pStyle w:val="TableContents"/>
              <w:bidi w:val="0"/>
              <w:spacing w:before="0" w:after="283"/>
              <w:jc w:val="left"/>
              <w:rPr/>
            </w:pPr>
            <w:r>
              <w:rPr/>
              <w:t xml:space="preserve">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Value </w:t>
            </w:r>
          </w:p>
        </w:tc>
        <w:tc>
          <w:tcPr>
            <w:tcW w:w="135" w:type="dxa"/>
            <w:tcBorders/>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Outstanding at January 1, 2024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7,414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794.40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7.7 years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238,210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Granted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209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268.80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Exercised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(57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43.20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Forfeited or cancelled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(92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405.60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Expired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752"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(42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458.40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Outstanding at December 31, 2024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752"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7,432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791.59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6.8 years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56,352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Exercisable at December 31, 2024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5,571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763.20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6.7 years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56,352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Outstanding at December 31, 2024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7,432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791.59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6.8 years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56,352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Granted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67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21.30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Exercised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(34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48.20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Forfeited or cancelled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(16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496.67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Expired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(27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214.69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Adjustment for reverse stock split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(59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Outstanding at December 31, 2025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7,363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790.71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5.8 years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Exercisable at December 31, 2025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752"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7,161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803.88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5.8 years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Outstanding at December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7,363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790.71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6.8 years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Granted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0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Exercised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0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Forfeited or cancelled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(21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453.60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Expired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shd w:fill="FFFFFF" w:val="clear"/>
            <w:vAlign w:val="center"/>
          </w:tcPr>
          <w:p>
            <w:pPr>
              <w:pStyle w:val="TableContents"/>
              <w:bidi w:val="0"/>
              <w:spacing w:before="0" w:after="283"/>
              <w:jc w:val="left"/>
              <w:rPr/>
            </w:pPr>
            <w:r>
              <w:rPr/>
              <w:t xml:space="preserve">  </w:t>
            </w:r>
          </w:p>
        </w:tc>
        <w:tc>
          <w:tcPr>
            <w:tcW w:w="752"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Adjustment for reverse stock split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25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410" w:type="dxa"/>
            <w:tcBorders/>
            <w:shd w:fill="FFFFFF" w:val="clear"/>
            <w:vAlign w:val="center"/>
          </w:tcPr>
          <w:p>
            <w:pPr>
              <w:pStyle w:val="TableContents"/>
              <w:bidi w:val="0"/>
              <w:spacing w:before="0" w:after="283"/>
              <w:jc w:val="left"/>
              <w:rPr/>
            </w:pPr>
            <w:r>
              <w:rPr/>
              <w:t xml:space="preserve">Outstanding at August 31, 2026 </w:t>
            </w:r>
          </w:p>
        </w:tc>
        <w:tc>
          <w:tcPr>
            <w:tcW w:w="120" w:type="dxa"/>
            <w:tcBorders/>
            <w:shd w:fill="FFFFFF" w:val="clear"/>
            <w:vAlign w:val="center"/>
          </w:tcPr>
          <w:p>
            <w:pPr>
              <w:pStyle w:val="TableContents"/>
              <w:bidi w:val="0"/>
              <w:spacing w:before="0" w:after="283"/>
              <w:jc w:val="left"/>
              <w:rPr/>
            </w:pPr>
            <w:r>
              <w:rPr/>
              <w:t xml:space="preserve">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752"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7,367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849" w:type="dxa"/>
            <w:tcBorders/>
            <w:shd w:fill="FFFFFF" w:val="clear"/>
            <w:vAlign w:val="center"/>
          </w:tcPr>
          <w:p>
            <w:pPr>
              <w:pStyle w:val="TableContents"/>
              <w:bidi w:val="0"/>
              <w:spacing w:before="0" w:after="283"/>
              <w:jc w:val="right"/>
              <w:rPr/>
            </w:pPr>
            <w:r>
              <w:rPr/>
              <w:t xml:space="preserve">790.13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970" w:type="dxa"/>
            <w:tcBorders/>
            <w:shd w:fill="FFFFFF" w:val="clear"/>
            <w:vAlign w:val="center"/>
          </w:tcPr>
          <w:p>
            <w:pPr>
              <w:pStyle w:val="TableContents"/>
              <w:bidi w:val="0"/>
              <w:spacing w:before="0" w:after="283"/>
              <w:jc w:val="right"/>
              <w:rPr/>
            </w:pPr>
            <w:r>
              <w:rPr/>
              <w:t xml:space="preserve">5.1 years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92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410" w:type="dxa"/>
            <w:tcBorders/>
            <w:shd w:fill="CCEEFF" w:val="clear"/>
            <w:vAlign w:val="center"/>
          </w:tcPr>
          <w:p>
            <w:pPr>
              <w:pStyle w:val="TableContents"/>
              <w:bidi w:val="0"/>
              <w:spacing w:before="0" w:after="283"/>
              <w:jc w:val="left"/>
              <w:rPr/>
            </w:pPr>
            <w:r>
              <w:rPr/>
              <w:t xml:space="preserve">Exercisable at August 31, 2026 </w:t>
            </w:r>
          </w:p>
        </w:tc>
        <w:tc>
          <w:tcPr>
            <w:tcW w:w="120" w:type="dxa"/>
            <w:tcBorders/>
            <w:shd w:fill="CCEEFF" w:val="clear"/>
            <w:vAlign w:val="center"/>
          </w:tcPr>
          <w:p>
            <w:pPr>
              <w:pStyle w:val="TableContents"/>
              <w:bidi w:val="0"/>
              <w:spacing w:before="0" w:after="283"/>
              <w:jc w:val="left"/>
              <w:rPr/>
            </w:pPr>
            <w:r>
              <w:rPr/>
              <w:t xml:space="preserve">  </w:t>
            </w:r>
          </w:p>
        </w:tc>
        <w:tc>
          <w:tcPr>
            <w:tcW w:w="152" w:type="dxa"/>
            <w:tcBorders/>
            <w:shd w:fill="CCEEFF" w:val="clear"/>
            <w:vAlign w:val="center"/>
          </w:tcPr>
          <w:p>
            <w:pPr>
              <w:pStyle w:val="TableContents"/>
              <w:bidi w:val="0"/>
              <w:spacing w:before="0" w:after="283"/>
              <w:jc w:val="left"/>
              <w:rPr/>
            </w:pPr>
            <w:r>
              <w:rPr/>
              <w:t xml:space="preserve">  </w:t>
            </w:r>
          </w:p>
        </w:tc>
        <w:tc>
          <w:tcPr>
            <w:tcW w:w="752" w:type="dxa"/>
            <w:tcBorders/>
            <w:shd w:fill="CCEEFF" w:val="clear"/>
            <w:vAlign w:val="center"/>
          </w:tcPr>
          <w:p>
            <w:pPr>
              <w:pStyle w:val="TableContents"/>
              <w:bidi w:val="0"/>
              <w:spacing w:before="0" w:after="283"/>
              <w:jc w:val="right"/>
              <w:rPr/>
            </w:pPr>
            <w:r>
              <w:rPr/>
              <w:t xml:space="preserve">7,273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849" w:type="dxa"/>
            <w:tcBorders/>
            <w:shd w:fill="CCEEFF" w:val="clear"/>
            <w:vAlign w:val="center"/>
          </w:tcPr>
          <w:p>
            <w:pPr>
              <w:pStyle w:val="TableContents"/>
              <w:bidi w:val="0"/>
              <w:spacing w:before="0" w:after="283"/>
              <w:jc w:val="right"/>
              <w:rPr/>
            </w:pPr>
            <w:r>
              <w:rPr/>
              <w:t xml:space="preserve">798.17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970" w:type="dxa"/>
            <w:tcBorders/>
            <w:shd w:fill="CCEEFF" w:val="clear"/>
            <w:vAlign w:val="center"/>
          </w:tcPr>
          <w:p>
            <w:pPr>
              <w:pStyle w:val="TableContents"/>
              <w:bidi w:val="0"/>
              <w:spacing w:before="0" w:after="283"/>
              <w:jc w:val="right"/>
              <w:rPr/>
            </w:pPr>
            <w:r>
              <w:rPr/>
              <w:t xml:space="preserve">5.1 years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92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8710"/>
        <w:gridCol w:w="60"/>
        <w:gridCol w:w="60"/>
        <w:gridCol w:w="60"/>
        <w:gridCol w:w="60"/>
        <w:gridCol w:w="60"/>
        <w:gridCol w:w="140"/>
        <w:gridCol w:w="980"/>
        <w:gridCol w:w="75"/>
      </w:tblGrid>
      <w:tr>
        <w:trPr/>
        <w:tc>
          <w:tcPr>
            <w:tcW w:w="8710" w:type="dxa"/>
            <w:tcBorders/>
            <w:shd w:fill="CCEEFF" w:val="clear"/>
            <w:vAlign w:val="center"/>
          </w:tcPr>
          <w:p>
            <w:pPr>
              <w:pStyle w:val="TableContents"/>
              <w:bidi w:val="0"/>
              <w:spacing w:before="0" w:after="283"/>
              <w:jc w:val="left"/>
              <w:rPr>
                <w:b/>
              </w:rPr>
            </w:pPr>
            <w:r>
              <w:rPr>
                <w:b/>
              </w:rPr>
              <w:t>Information on Equity Compensation Plans as of August 31, 2026 (except as set forth below)</w:t>
            </w:r>
          </w:p>
        </w:tc>
        <w:tc>
          <w:tcPr>
            <w:tcW w:w="60" w:type="dxa"/>
            <w:tcBorders/>
            <w:shd w:fill="CCEEFF" w:val="clear"/>
            <w:vAlign w:val="center"/>
          </w:tcPr>
          <w:p>
            <w:pPr>
              <w:pStyle w:val="TableContents"/>
              <w:bidi w:val="0"/>
              <w:spacing w:before="0" w:after="283"/>
              <w:jc w:val="left"/>
              <w:rPr/>
            </w:pPr>
            <w:r>
              <w:rPr/>
              <w:t> </w:t>
            </w:r>
          </w:p>
        </w:tc>
        <w:tc>
          <w:tcPr>
            <w:tcW w:w="1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710" w:type="dxa"/>
            <w:tcBorders/>
            <w:shd w:fill="FFFFFF" w:val="clear"/>
            <w:vAlign w:val="center"/>
          </w:tcPr>
          <w:p>
            <w:pPr>
              <w:pStyle w:val="TableContents"/>
              <w:bidi w:val="0"/>
              <w:spacing w:before="0" w:after="283"/>
              <w:jc w:val="left"/>
              <w:rPr/>
            </w:pPr>
            <w:r>
              <w:rPr/>
              <w:t>Total number of stock options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7,367</w:t>
            </w:r>
          </w:p>
        </w:tc>
        <w:tc>
          <w:tcPr>
            <w:tcW w:w="75" w:type="dxa"/>
            <w:tcBorders/>
            <w:shd w:fill="FFFFFF" w:val="clear"/>
            <w:vAlign w:val="center"/>
          </w:tcPr>
          <w:p>
            <w:pPr>
              <w:pStyle w:val="TableContents"/>
              <w:bidi w:val="0"/>
              <w:spacing w:before="0" w:after="283"/>
              <w:jc w:val="left"/>
              <w:rPr/>
            </w:pPr>
            <w:r>
              <w:rPr/>
              <w:t> </w:t>
            </w:r>
          </w:p>
        </w:tc>
      </w:tr>
      <w:tr>
        <w:trPr/>
        <w:tc>
          <w:tcPr>
            <w:tcW w:w="8710" w:type="dxa"/>
            <w:tcBorders/>
            <w:shd w:fill="CCEEFF" w:val="clear"/>
            <w:vAlign w:val="center"/>
          </w:tcPr>
          <w:p>
            <w:pPr>
              <w:pStyle w:val="TableContents"/>
              <w:bidi w:val="0"/>
              <w:spacing w:before="0" w:after="283"/>
              <w:jc w:val="left"/>
              <w:rPr/>
            </w:pPr>
            <w:r>
              <w:rPr/>
              <w:t>Weighted-average exercise price of stock options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rFonts w:ascii="Times New Roman;Times;Serif" w:hAnsi="Times New Roman;Times;Serif"/>
                <w:sz w:val="20"/>
              </w:rPr>
              <w:t>790.13</w:t>
            </w: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8710" w:type="dxa"/>
            <w:tcBorders/>
            <w:shd w:fill="FFFFFF" w:val="clear"/>
            <w:vAlign w:val="center"/>
          </w:tcPr>
          <w:p>
            <w:pPr>
              <w:pStyle w:val="TableContents"/>
              <w:bidi w:val="0"/>
              <w:spacing w:before="0" w:after="283"/>
              <w:jc w:val="left"/>
              <w:rPr/>
            </w:pPr>
            <w:r>
              <w:rPr/>
              <w:t>Total shares available for future awards under our 2021 EIP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xml:space="preserve">15,704 </w:t>
            </w:r>
          </w:p>
        </w:tc>
        <w:tc>
          <w:tcPr>
            <w:tcW w:w="75" w:type="dxa"/>
            <w:tcBorders/>
            <w:shd w:fill="FFFFFF" w:val="clear"/>
            <w:vAlign w:val="center"/>
          </w:tcPr>
          <w:p>
            <w:pPr>
              <w:pStyle w:val="TableContents"/>
              <w:bidi w:val="0"/>
              <w:spacing w:before="0" w:after="283"/>
              <w:jc w:val="left"/>
              <w:rPr/>
            </w:pPr>
            <w:r>
              <w:rPr/>
              <w:t> </w:t>
            </w:r>
          </w:p>
        </w:tc>
      </w:tr>
      <w:tr>
        <w:trPr/>
        <w:tc>
          <w:tcPr>
            <w:tcW w:w="8710" w:type="dxa"/>
            <w:tcBorders/>
            <w:shd w:fill="CCEEFF" w:val="clear"/>
            <w:vAlign w:val="center"/>
          </w:tcPr>
          <w:p>
            <w:pPr>
              <w:pStyle w:val="TableContents"/>
              <w:bidi w:val="0"/>
              <w:spacing w:before="0" w:after="283"/>
              <w:jc w:val="left"/>
              <w:rPr/>
            </w:pPr>
            <w:r>
              <w:rPr/>
              <w:t>Proposed increase to shares available for awards under our Amended and Restated 2021 EIP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2,500,000</w:t>
            </w:r>
          </w:p>
        </w:tc>
        <w:tc>
          <w:tcPr>
            <w:tcW w:w="75" w:type="dxa"/>
            <w:tcBorders/>
            <w:shd w:fill="CCEEFF" w:val="clear"/>
            <w:vAlign w:val="center"/>
          </w:tcPr>
          <w:p>
            <w:pPr>
              <w:pStyle w:val="TableContents"/>
              <w:bidi w:val="0"/>
              <w:spacing w:before="0" w:after="283"/>
              <w:jc w:val="left"/>
              <w:rPr/>
            </w:pPr>
            <w:r>
              <w:rPr/>
              <w:t> </w:t>
            </w:r>
          </w:p>
        </w:tc>
      </w:tr>
      <w:tr>
        <w:trPr/>
        <w:tc>
          <w:tcPr>
            <w:tcW w:w="8710" w:type="dxa"/>
            <w:tcBorders/>
            <w:shd w:fill="FFFFFF" w:val="clear"/>
            <w:vAlign w:val="center"/>
          </w:tcPr>
          <w:p>
            <w:pPr>
              <w:pStyle w:val="TableContents"/>
              <w:bidi w:val="0"/>
              <w:spacing w:before="0" w:after="283"/>
              <w:jc w:val="left"/>
              <w:rPr/>
            </w:pPr>
            <w:r>
              <w:rPr/>
              <w:t>Total shares of common stock outstanding (as of September 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2,236,324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2021 EIP and 2026 Special Reserve Plan are consistent with principles of good corporate governance.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our Amended and Restated 2021 EIP and 2026 Special Reserve Plan will promote the interests of stockholders and is consistent with principles of good corporate governance, including: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
        <w:gridCol w:w="177"/>
        <w:gridCol w:w="9946"/>
      </w:tblGrid>
      <w:tr>
        <w:trPr/>
        <w:tc>
          <w:tcPr>
            <w:tcW w:w="8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7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Grants Tied to Increases in Market Value of Common Stock. The Special Reserve Plan provides five performance-based milestones where a certain percent (i.e. 20%) of the Special Reserve of 2,500,000 shares may be used to grant stock options to qualified employees, executives and directors, at the discretion of the Compensation Committee, only upon the Company reaching a an incremental milestone, which is set as doubling of the market price of shares of Common Stock (with the first of the five milestones set at $5 per share; the next milestone set at $10 per share, etc.). The vesting schedule for each grant of options must be after a service period of between 1 to 2 years. The Special Reserve Plan is designed to reward selected employees, executives and directors at the same time that stockholders are rewarded with a doubling of the value of their shares. </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w:t>
            </w:r>
          </w:p>
        </w:tc>
        <w:tc>
          <w:tcPr>
            <w:tcW w:w="994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Discounted Stock Options or SARs</w:t>
            </w:r>
            <w:r>
              <w:rPr>
                <w:rFonts w:ascii="Times New Roman;Times;Serif" w:hAnsi="Times New Roman;Times;Serif"/>
                <w:b w:val="false"/>
                <w:i w:val="false"/>
                <w:caps w:val="false"/>
                <w:smallCaps w:val="false"/>
                <w:sz w:val="20"/>
              </w:rPr>
              <w:t xml:space="preserve">. All stock option and stock appreciation rights (“SAR”) awards under our Amended and Restated 2021 EIP, must have an exercise or base price equal to or greater the closing price of the underlying common stock on the date of grant. Since grants under the Special Reserve will be made only upon incremental increases in the market price of our common stock, exercise or base prices for those awards will be equal to or greater than such increased prices. </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Reload Awards</w:t>
            </w:r>
            <w:r>
              <w:rPr>
                <w:rFonts w:ascii="Times New Roman;Times;Serif" w:hAnsi="Times New Roman;Times;Serif"/>
                <w:b w:val="false"/>
                <w:i w:val="false"/>
                <w:caps w:val="false"/>
                <w:smallCaps w:val="false"/>
                <w:sz w:val="20"/>
              </w:rPr>
              <w:t>. Our Amended and Restated 2021 EIP prohibits the grant of “reload” awards.</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Outside Director Limitations. </w:t>
            </w:r>
            <w:r>
              <w:rPr>
                <w:rFonts w:ascii="Times New Roman;Times;Serif" w:hAnsi="Times New Roman;Times;Serif"/>
                <w:b w:val="false"/>
                <w:i w:val="false"/>
                <w:caps w:val="false"/>
                <w:smallCaps w:val="false"/>
                <w:sz w:val="20"/>
              </w:rPr>
              <w:t> Stock awards granted during a single fiscal year under the Amended and Restated 2021 EIP or otherwise, taken together with any cash fees paid during such fiscal year for services on the Board, shall not exceed (a) $1,000,000 in total value for any outside director serving in his or her first year of service as an outside director and (b) $500,000 in total value for any other outside director (calculating the value of any such stock awards based on the grant date fair value of such stock awards for financial reporting purposes).</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2" w:type="dxa"/>
            <w:tcBorders/>
            <w:vAlign w:val="center"/>
          </w:tcPr>
          <w:p>
            <w:pPr>
              <w:pStyle w:val="TableContents"/>
              <w:bidi w:val="0"/>
              <w:spacing w:before="0" w:after="283"/>
              <w:jc w:val="left"/>
              <w:rPr>
                <w:caps w:val="false"/>
                <w:smallCaps w:val="false"/>
              </w:rPr>
            </w:pPr>
            <w:r>
              <w:rPr>
                <w:caps w:val="false"/>
                <w:smallCaps w:val="false"/>
              </w:rPr>
              <w:t> </w:t>
            </w:r>
          </w:p>
        </w:tc>
        <w:tc>
          <w:tcPr>
            <w:tcW w:w="177" w:type="dxa"/>
            <w:tcBorders/>
            <w:vAlign w:val="center"/>
          </w:tcPr>
          <w:p>
            <w:pPr>
              <w:pStyle w:val="TableContents"/>
              <w:bidi w:val="0"/>
              <w:spacing w:before="0" w:after="283"/>
              <w:jc w:val="left"/>
              <w:rPr>
                <w:caps w:val="false"/>
                <w:smallCaps w:val="false"/>
              </w:rPr>
            </w:pPr>
            <w:r>
              <w:rPr>
                <w:caps w:val="false"/>
                <w:smallCaps w:val="false"/>
              </w:rPr>
              <w:t>●</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Automatic Annual Share Increases.</w:t>
            </w:r>
            <w:r>
              <w:rPr>
                <w:rFonts w:ascii="Times New Roman;Times;Serif" w:hAnsi="Times New Roman;Times;Serif"/>
                <w:b w:val="false"/>
                <w:i w:val="false"/>
                <w:caps w:val="false"/>
                <w:smallCaps w:val="false"/>
                <w:sz w:val="20"/>
              </w:rPr>
              <w:t xml:space="preserve"> Unlike the 2021 EIP, the Amended and Restated 2021 EIP does not provide for automatic annual increases in the number of shares available for issuance under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of our Amended and Restated 2021 EIP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material terms of our Amended and Restated 2021 EIP. A copy of our Amended and Restated 2021 EIP is attached as Appendix B to this proxy statement, and we urge stockholders to read it in its entirety. The following description of the material terms of our Amended and Restated 2021 EIP is qualified in its entirety by reference to the full text of our Amended and Restated 2021 EIP.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Our Amended and Restated 2021 EIP will generally be administered by our Compensation Committee, which will have the discretionary authority to administer and interpret the plan; determine eligibility for and grant awards; determine the exercise price, base value from which appreciation is measured, or purchase price, if any, applicable to any award under the plan; determine, modify, accelerate or waive the terms and conditions of any award; determine the form of settlement of awards; prescribe forms, rules and procedures relating to the plan and awards; and otherwise do all things necessary or desirable to carry out the purposes of the plan or any award. Our Compensation Committee (or the Board, with respect to such matters over which it retains authority) may delegate to one or more of its members (or one or more members of the Board) such of its duties, powers and responsibilities as it may determine and, to the extent permitted by law, may delegate certain of its duties, powers and responsibilities to officers, employees and other persons. As used in this summary, the term “Administrator” refers to our Compensation Committee, the Board or any authorized delegates, as applicable.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 to Receive Awards</w:t>
      </w:r>
      <w:r>
        <w:rPr>
          <w:rFonts w:ascii="Times New Roman;Times;Serif" w:hAnsi="Times New Roman;Times;Serif"/>
          <w:b w:val="false"/>
          <w:i w:val="false"/>
          <w:caps w:val="false"/>
          <w:smallCaps w:val="false"/>
          <w:sz w:val="20"/>
        </w:rPr>
        <w:t>. Under our Amended and Restated 2021 EIP, employees, directors, consultants and advisors of the Company and its affiliates are eligible to receive awards under our Amended and Restated 2021 EIP. Eligibility for options intended to be incentive stock options (“ISOs”) is limited to employees of the Company or certain affiliates. As of August 31, 2026, we estimate that approximately 35 employees, including all of our executive officers, 3 non-employee directors, and 1 consultant(s) and advisor(s) in the aggregate would be eligible to participate in our Amended and Restated 2021 EIP.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xml:space="preserve">. Subject to adjustment as described below, the maximum number of shares of common stock that may be delivered in satisfaction of awards under our Amended and Restated 2021 EIP is 2,515,704 shares (inclusive of shares subject to awards previously granted under our 2021 EIP prior to the effective date of our Amended and Restated 2021 EIP), (the “Share Pool”). Unlike the 2021 EIP, the Amended and Restated 2021 EIP does not provide for automatic annual increases to the Share Pool. The following rules apply in respect of the Share Pool, which includes the Special Reserve: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stock underlying awards settled in cash or that expire, become unexercisable, terminate, or are forfeited to or repurchased by the Company without the issuance of shares will not reduce the Share Pool.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Pool will not be increased by any shares that are delivered under our Amended and Restated 2021 EIP that are subsequently repurchased by the Company using proceeds directly attributable to stock option exercises.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any awards from the Special Reserve will be subject to the performance hurdles and other restrictions set forth in the 2026 Special Reserve Plan. These restrictions include incremental milestones for increases in the market price of shares of our Common Stock that must be achieved before each incremental portion (i.e. 20%) of the Special Reserve of 2,500,000 shares may be used to make awards of options to qualified employees, executives and directors, at the discretion of the Compensation Committee. Each milestone is set as a doubling of the market price of a share of Common Stock (with the first milestone being a $5 per share market price that is sustained for at least 20 trading days. The vesting schedule for each grant of options must be a period of service period of between 1 to 2 years. The Special Reserve Plan is designed to reward selected employees, executives and directors at the same time that stockholders are rewarded with a doubling of the value of their shares.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may be delivered under our Amended and Restated 2021 EIP may be authorized but unissued shares of our common stock or previously issued shares of our common stock acquired by the Company. Shares may be delivered under our Amended and Restated 2021 EIP, in satisfaction of awards granted under other compensation arrangements of the Company. The closing price of our common stock as reported on Nasdaq on September 1, 2026 was $3.45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Our Amended and Restated 2021 EIP provides for the grant of stock options, SARs, restricted and unrestricted stock and stock units, performance awards, and other awards that are convertible into or otherwise based on our common stock.</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and SARs. The Administrator may grant stock options, including ISOs, and SARs. A stock option is a right entitling the holder to acquire shares of our common stock upon payment of the applicable exercise price. A SAR is a right entitling the holder upon exercise to receive an amount (payable in cash or shares of equivalent value) equal to the excess of the fair market value of the shares subject to the right over the base value from which appreciation is measured. The per share exercise price of each stock option, and the per share base value of each SAR, granted under our Amended and Restated 2021 EIP may not be less than 100% of the closing price of a share of our common stock on the date of grant (or, if no closing price is reported for that date, the closing price on the immediately preceding date on which a closing price was reported). The Administrator may not grant stock options that provide for automatic “reload” grants of additional stock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and Unrestricted Stock and Stock Units. The Administrator may grant awards of stock, stock units, restricted stock and restricted stock units. A stock unit is an unfunded and unsecured promise, denominated in shares, to deliver shares or cash measured by the value of shares in the future, and a restricted stock unit is a stock unit that is subject to the satisfaction of specified performance or other vesting conditions. Restricted stock is stock subject to restrictions requiring that it be forfeited, redelivered or offered for sale to us if specified performance or other vesting conditions are not satisfied.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Awards. The Administrator may grant performance awards, which are awards that vest subject to performance vesting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Stock-Based Awards. The Administrator may grant other awards that are convertible into or otherwise based on shares of our common stock, subject to such terms and conditions as are determined by the Administrator.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Terms of Awards</w:t>
      </w:r>
      <w:r>
        <w:rPr>
          <w:rFonts w:ascii="Times New Roman;Times;Serif" w:hAnsi="Times New Roman;Times;Serif"/>
          <w:b w:val="false"/>
          <w:i w:val="false"/>
          <w:caps w:val="false"/>
          <w:smallCaps w:val="false"/>
          <w:sz w:val="20"/>
        </w:rPr>
        <w:t>. The Administrator will determine the terms and conditions of all awards granted under our Amended and Restated 2021 EIP, including the time or times an award vests or becomes exercisable, the terms and conditions on which an option or SAR remains exercisable, and the effect of termination of a participant’s employment or service on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Employment or Other Status</w:t>
      </w:r>
      <w:r>
        <w:rPr>
          <w:rFonts w:ascii="Times New Roman;Times;Serif" w:hAnsi="Times New Roman;Times;Serif"/>
          <w:b w:val="false"/>
          <w:i w:val="false"/>
          <w:caps w:val="false"/>
          <w:smallCaps w:val="false"/>
          <w:sz w:val="20"/>
        </w:rPr>
        <w:t>. The Administrator will determine the effect of termination of employment or other service on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 of Awards</w:t>
      </w:r>
      <w:r>
        <w:rPr>
          <w:rFonts w:ascii="Times New Roman;Times;Serif" w:hAnsi="Times New Roman;Times;Serif"/>
          <w:b w:val="false"/>
          <w:i w:val="false"/>
          <w:caps w:val="false"/>
          <w:smallCaps w:val="false"/>
          <w:sz w:val="20"/>
        </w:rPr>
        <w:t>. Except as the Administrator may otherwise determine, awards may not be transferred other than by will or by the laws of descent and distribution.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Covered Transactions</w:t>
      </w:r>
      <w:r>
        <w:rPr>
          <w:rFonts w:ascii="Times New Roman;Times;Serif" w:hAnsi="Times New Roman;Times;Serif"/>
          <w:b w:val="false"/>
          <w:i w:val="false"/>
          <w:caps w:val="false"/>
          <w:smallCaps w:val="false"/>
          <w:sz w:val="20"/>
        </w:rPr>
        <w:t>. Except as otherwise provided in an award agreement or by the Administrator, in the event of a consolidation, merger or similar transaction in which the Company is not the surviving corporation or which results in the acquisition of the majority of our common stock by a single person or group, a sale or transfer of substantially all of our assets or a dissolution or liquidation of the Company (a “covered transaction”):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unvested award that is then outstanding and eligible to vest based on performance, the Administrator shall determine the extent to which the applicable performance vesting conditions have been achieved as of the consummation of such covered transaction and the award, to the extent earned based on performance, will thereafter be eligible to vest based on continued employment or service, as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provide for payment with respect to some or all awards that are not assumed, continued or substituted in an amount equal to the fair market value of the underlying shares over the applicable exercise or purchase price of such award.</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Adjustments Upon Changes in Capitalization</w:t>
      </w:r>
      <w:r>
        <w:rPr>
          <w:rFonts w:ascii="Times New Roman;Times;Serif" w:hAnsi="Times New Roman;Times;Serif"/>
          <w:b w:val="false"/>
          <w:i w:val="false"/>
          <w:caps w:val="false"/>
          <w:smallCaps w:val="false"/>
          <w:sz w:val="20"/>
        </w:rPr>
        <w:t>. In the event of a stock dividend, stock split or combination of shares (including a reverse stock split), recapitalization or other change in our capital structure, the Administrator will make appropriate adjustments to the maximum number of shares that may be issued under our Amended and Restated 2021 EIP and kind of securities subject to, and, if applicable, the exercise or purchase prices (or base values) of, outstanding awards, and any other provisions affected by such event. The Administrator may also make such adjustments to take into account other distributions to stockholders or any other event if it determines that adjustments are appropriate to avoid distortion in the operation of our Amended and Restated 2021 EIP or any award. For example, on April 11, 2025, the Company effected the one-for-forty reverse stock-split, which resulted in appropriate and proportionate adjustments under our 2021 EIP.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Clawback</w:t>
      </w:r>
      <w:r>
        <w:rPr>
          <w:rFonts w:ascii="Times New Roman;Times;Serif" w:hAnsi="Times New Roman;Times;Serif"/>
          <w:b w:val="false"/>
          <w:i w:val="false"/>
          <w:caps w:val="false"/>
          <w:smallCaps w:val="false"/>
          <w:sz w:val="20"/>
        </w:rPr>
        <w:t>. The Administrator may provide that any outstanding award or the proceeds from, or other amounts received in respect of, any award or stock acquired under any award will be subject to reduction, cancellation, forfeiture, and/or recoupment upon the occurrence of certain specified events, in addition to any applicable vesting, performance or other conditions and restrictions of an award, if the participant to whom the award was granted is not in compliance with the plan or the applicable award or any non-competition, non-solicitation, no-hire, non- disparagement, confidentiality, invention assignment or other restrictive covenant. Each award will be subject to any policy of the Company or any of its affiliates that relates to trading on non-public information and permitted transactions with respect to shares of our common stock, including limitations on hedging and pledging. In addition, each award will be subject to any of our policies or those of our subsidiaries that provides for the forfeiture, disgorgement or clawback with respect to incentive compensation that includes awards under the plan and will be subject to forfeiture and disgorgement to the extent required by law or applicable stock exchange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 </w:t>
      </w:r>
      <w:r>
        <w:rPr>
          <w:rFonts w:ascii="Times New Roman;Times;Serif" w:hAnsi="Times New Roman;Times;Serif"/>
          <w:b w:val="false"/>
          <w:i w:val="false"/>
          <w:caps w:val="false"/>
          <w:smallCaps w:val="false"/>
          <w:sz w:val="20"/>
        </w:rPr>
        <w:t>If shareholders approve our Amended and Restated 2021 EIP, unless sooner terminated by the Administrator, our Amended and Restated 2021 EIP will terminate 10 years from the earlier of the Board approval or the stockholder approval. Awards outstanding on that date will continue in accordance with their terms.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and Termination</w:t>
      </w:r>
      <w:r>
        <w:rPr>
          <w:rFonts w:ascii="Times New Roman;Times;Serif" w:hAnsi="Times New Roman;Times;Serif"/>
          <w:b w:val="false"/>
          <w:i w:val="false"/>
          <w:caps w:val="false"/>
          <w:smallCaps w:val="false"/>
          <w:sz w:val="20"/>
        </w:rPr>
        <w:t>. The Administrator may at any time amend our Amended and Restated 2021 EIP, or any outstanding award and may at any time terminate our Amended and Restated 2021 EIP as to future grants. However, except as expressly provided in our Amended and Restated 2021 EIP, or the applicable award, the Administrator may not alter the terms of an award so as to materially and adversely affect a participant’s rights under the award without the participant’s consent, unless the Administrator expressly reserved the right to do so at the time the award was granted. Any amendments to our Amended and Restated 2021 EIP, will be conditioned on stockholder approval to the extent required by law or applicable stock exchange requirements.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Two is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the Amended and Restated 2021 EIP will become effective. The Company will have additional shares available for issuance under the Amended and Restated 2021 EIP and will be able to continue granting equity awards pursuant to the performance-based milestones in the Share Reserve Plan to employees, executive officers, directors and other eligible service providers. The Board believes that maintaining a sufficient reserve of shares available for equity awards is important to the Company’s ability to attract, retain and motivate personnel and to align their interests with those of our stockholders. In addition, the Amended and Restated 2021 EIP will eliminate the automatic annual share reserve increase provision currently contained in the 2021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is the Effect on Current Stockholders if Proposal Two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Two, the Amended and Restated 2021 EIP will not become effective and the 2021 EIP will remain in effect in accordance with its current terms. In addition, certain equity awards proposed to be granted to our executive officers and directors that are contingent upon stockholder approval of the Amended and Restated 2021 EIP will not be granted. The Company may also have a reduced ability to grant future equity awards as the number of shares remaining available for issuance under the 2021 EIP declines, which could adversely affect its ability to attract, retain and motivate employees, executive officers, directors and other eligible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Delaware law, approval of Proposal Two requires the affirmative vote of a majority of the shares of common stock present or represented by proxy and entitled to vote on this proposal at the Special Meeting. As a result, abstentions will have the same effect as votes against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Proposal Two.</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JA_007"/>
      <w:bookmarkEnd w:id="7"/>
      <w:r>
        <w:rPr>
          <w:rFonts w:ascii="Times New Roman;Times;Serif" w:hAnsi="Times New Roman;Times;Serif"/>
          <w:b/>
          <w:i w:val="false"/>
          <w:caps w:val="false"/>
          <w:smallCaps w:val="false"/>
          <w:sz w:val="20"/>
        </w:rPr>
        <w:t>HOUSEHOLDING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and annual reports. This means that only one copy of our documents, including this proxy statement, may have been sent to multiple stockholders in your household if you have requested paper copies thereof. We will promptly deliver a separate copy of either document to you upon written or oral request to HCW Biologics Inc., 2929 N. Commerce Parkway, Miramar, Florida 33025, Attention: Corporate Secretary or (954) 842-2024 X205. If you want to receive separate copies of the proxy statement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JA_008"/>
      <w:bookmarkEnd w:id="8"/>
      <w:r>
        <w:rPr>
          <w:rFonts w:ascii="Times New Roman;Times;Serif" w:hAnsi="Times New Roman;Time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presently intend to bring any other business before the Special Meeting and, so far as is known to our board of directors, no matters are to be brought before the Special Meeting except as specified in the Notice of Special Meeting of Stockholders. As to any business that may arise and properly come before the Special Meeting, however, it is intended that proxies, in the form enclosed, will be voted in respect thereof in accordance with the judgment of the persons voting such proxies.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COMMON STOCK PURCHASE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HCW BIOLOGICS INC.</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090"/>
        <w:gridCol w:w="60"/>
        <w:gridCol w:w="2075"/>
      </w:tblGrid>
      <w:tr>
        <w:trPr/>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_______</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July 29,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xml:space="preserve">”) certifies that, for value received, </w:t>
      </w:r>
      <w:r>
        <w:rPr>
          <w:rFonts w:ascii="Times New Roman;Times;Serif" w:hAnsi="Times New Roman;Times;Serif"/>
          <w:b w:val="false"/>
          <w:i w:val="false"/>
          <w:smallCaps/>
          <w:sz w:val="20"/>
        </w:rPr>
        <w:t xml:space="preserve">_____________. </w:t>
      </w:r>
      <w:r>
        <w:rPr>
          <w:rFonts w:ascii="Times New Roman;Times;Serif" w:hAnsi="Times New Roman;Times;Serif"/>
          <w:b w:val="false"/>
          <w:i w:val="false"/>
          <w:caps w:val="false"/>
          <w:smallCaps w:val="false"/>
          <w:sz w:val="20"/>
        </w:rPr>
        <w:t>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of issuance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date that is five and one-half (5.5) years after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HCW Biologics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“Purchase Agreement”), dated July [*], 2026, among the Company and the purchasers signatory thereto. In addition to the terms defined elsewhere in this Warrant, the following terms have the meanings indicated in this Section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Equiniti Trust Company, LLC, the current transfer agent of the Company, with a mailing address of 48 Wall Street, Floor 23, New York, New York 10005 and an email address of frank.misciagna@equiniti.com, and any successor transfer agent of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Common Warrants (as defined in the Purchase Agreement) issued by the Company pursuant to the Purchase Agreement.</w:t>
      </w:r>
    </w:p>
    <w:p>
      <w:pPr>
        <w:pStyle w:val="TextBody"/>
        <w:bidi w:val="0"/>
        <w:spacing w:before="0" w:after="0"/>
        <w:ind w:left="108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equal to the Per Share Purchase Price (as defined in the Purchase Agreement),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2668" w:right="0" w:hanging="882"/>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on the Termination Date, this Warrant shall be automatically exercised via cashless exercise pursuant to this Section 2(c).</w: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VWAP immediately preceding the public announcement of the applicable contemplated Fundamental Transaction (or the consummation of the applicable Fundamental Transaction, if earlier),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94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2929 N Commerce Parkway, Miramar, FL 33025, Attention: Rebecca Byam, Chief Financial Officer, email address: RebeccaByam@hcwbiologics.com, for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Other than Section 2(e) above and this Section 5(l), which may not be amended, modified or waived, this Warrant may be modified or amended or the provisions hereof waived with the written consent of the Company, on the one hand, and the Holder,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862"/>
        <w:gridCol w:w="1272"/>
        <w:gridCol w:w="135"/>
      </w:tblGrid>
      <w:tr>
        <w:trPr/>
        <w:tc>
          <w:tcPr>
            <w:tcW w:w="2134"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HCW Biologics inc.</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caps w:val="false"/>
                <w:smallCaps w:val="false"/>
              </w:rPr>
            </w:pPr>
            <w:r>
              <w:rPr>
                <w:caps w:val="false"/>
                <w:smallCaps w:val="false"/>
              </w:rPr>
              <w:t> </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72" w:type="dxa"/>
            <w:tcBorders>
              <w:bottom w:val="single" w:sz="8"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7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To: HCW BIOLOGICS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4002"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firstLine="238"/>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170"/>
        <w:gridCol w:w="1100"/>
      </w:tblGrid>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p>
            <w:pPr>
              <w:pStyle w:val="TableContents"/>
              <w:bidi w:val="0"/>
              <w:spacing w:before="0" w:after="0"/>
              <w:ind w:left="0" w:right="0" w:hanging="0"/>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caps w:val="false"/>
                <w:smallCaps w:val="false"/>
              </w:rPr>
            </w:pPr>
            <w:r>
              <w:rPr>
                <w:caps w:val="false"/>
                <w:smallCaps w:val="false"/>
              </w:rPr>
              <w:t> </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110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The purposes of this Plan are (a) to attract and retain the best available personnel to ensure the Company’s success and accomplish the Company’s goals; (b) to incentivize Employees, Directors and Independent Contractors with long-term equity-based compensation to align their interests with the Company’s stockholders; and (c) to promote the success of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 of Incentive Stock Options, Nonstatutory Stock Options, Restricted Stock, Restricted Stock Units, Stock Appreciation Rights and Stock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definitions will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Administrator</w:t>
      </w:r>
      <w:r>
        <w:rPr>
          <w:rFonts w:ascii="Times New Roman;Times;Serif" w:hAnsi="Times New Roman;Times;Serif"/>
          <w:b w:val="false"/>
          <w:i w:val="false"/>
          <w:caps w:val="false"/>
          <w:smallCaps w:val="false"/>
          <w:sz w:val="20"/>
        </w:rPr>
        <w:t>” means the Board or the Committee that will be administering the Plan, in accordance with Section 4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 Parent, a Subsidiary or any corporation or other entity that, directly or indirectly through one or more intermediaries, controls, or is controlled by, or is under common control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means all applicable laws, rules, regulations and requirements, including, but not limited to, all applicable U.S. federal or state laws, rules and regulations, the rules and regulations of any stock exchange or quotation system on which the Common Stock is listed or quoted, and the applicable laws, rules and regulations of any other country or jurisdiction where Awards are, or will be, granted under the Plan or Participants reside or provide services to the Company or any Affiliate, as such laws, rules and regulations shall be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individually or collectively, a grant under the Plan of Options, Restricted Stock, Restricted Stock Units, Stock Appreciation Rights or Stock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means the written or electronic agreement setting forth the terms and provisions applicable to each Award granted under the Plan. The Award Agreement is subject to the terms and conditions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with respect to the termination of a Participant’s status as a Service Provider, except as otherwise defined in an Award Agreement, (i) in the case where there is no employment agreement, consulting agreement, change in control agreement or similar agreement in effect between the Company or an Affiliate of the Company and the Participant at the time of the grant of the Award (or where there is such an agreement but it does not define “cause” (or words of like import) or where it only applies upon the occurrence of a change in control and one has not yet taken place): (A) any material breach by Participant of any material written agreement between Participant and the Company; (B) any failure by Participant to comply with the Company’s material written policies or rules as they may be in effect from time to time; (C) neglect or persistent unsatisfactory performance of Participant’s duties; (D) Participant’s repeated failure to follow reasonable and lawful instructions from the Board or Chief Executive Officer; (E) Participant’s indictment for, conviction of, or plea of guilty or nolo contendere to, any felony or crime that results in, or is reasonably expected to result in, a material adverse effect on the business or reputation of the Company; (F) Participant’s commission of or participation in an act of fraud against the Company; (G) Participant’s commission of or participation in an act that results in material damage to the Company’s business, property or reputation; or (H) Participant’s unauthorized use or disclosure of any proprietary information or trade secrets of the Company or any other party to whom the Participant owes an obligation of nondisclosure as a result of his or her relationship with the Company; or (ii) in the case where there is an employment agreement, consulting agreement, change in control agreement or similar agreement in effect between the Company or an Affiliate and the Participant at the time of the grant of the Award that defines “cause” (or words of like import),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 For purposes of clarity, a termination without “Cause” does not include any termination that occurs solely as a result of Participant’s death or Disability. The determination as to whether a Participant’s status as a Service Provider for purposes of the Plan has been terminated for Cause shall be made in good faith by the Company and shall be final and binding on the Participant. The foregoing definition does not in any way limit the Company’s ability (or that of any Affiliate or any successor thereto, as appropriate) to terminate a Participant’s employment or consulting relationship at any time, subject to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except as may otherwise be provided in an Award Agreement or other applicable agreement, means the occurrence of any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consummation of the sale, transfer or other disposition of all or substantially all of the Company’s assets (other than (A) to a corporation or other entity of which at least a majority of its combined voting power is owned directly or indirectly by the Company, (B) to a corporation or other entity owned directly or indirectly by the stockholders of the Company in substantially the same proportions as their ownership of the Common Stock of the Company or (C) to a continuing or surviving entity described in Section 2(h)(i) above in connection with a merger, consolidation or reorganization which does not result in a Change in Control under Section 2(h)(i));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Section 2(h), the term “</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shall have the same meaning as when used in Sections 13(d) and 14(d) of the Exchange Act but shall exclude: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trustee or other fiduciary holding securities under an employee benefit plan of the Company or an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corporation or other entity owned directly or indirectly by the stockholders of the Company in substantially the same proportions as their ownership of the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corporation or other entity of which at least a majority of its combined voting power is owned directly or indirectly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In addition, if any Person (as defined above) is considered to be in effective control of the Company, the acquisition of additional control of the Company by the same Person will not be considered to cause a Change in Control.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a committee of Directors or of other individuals satisfying Applicable Laws appointed by the Board in accordance with Section 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HCW Biologics Inc., a Delaware corporation, or any successor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Determination Date</w:t>
      </w:r>
      <w:r>
        <w:rPr>
          <w:rFonts w:ascii="Times New Roman;Times;Serif" w:hAnsi="Times New Roman;Times;Serif"/>
          <w:b w:val="false"/>
          <w:i w:val="false"/>
          <w:caps w:val="false"/>
          <w:smallCaps w:val="false"/>
          <w:sz w:val="20"/>
        </w:rPr>
        <w:t>” means any time when the achievement of the Performance Goals associated with the applicable Performance Period remains substantially uncertain; provided, however, that without limiting the foregoing, that if the Determination Date occurs on or before the date on which 25% of the Performance Period has elapsed, the achievement of such Performance Goals shall be deemed to be substantially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total and permanent disability as defined in Section 22(e)(3) of the Code in the case of Incentive Stock Options, and for all other Awards, means as determined pursuant to the terms of the long-term disability plan maintained by the Company or as defined by the Social Security Administration; provided however, that if the Participant resides outside of the United States, “</w:t>
      </w:r>
      <w:r>
        <w:rPr>
          <w:rFonts w:ascii="Times New Roman;Times;Serif" w:hAnsi="Times New Roman;Times;Serif"/>
          <w:b w:val="false"/>
          <w:i/>
          <w:caps w:val="false"/>
          <w:smallCaps w:val="false"/>
          <w:sz w:val="20"/>
        </w:rPr>
        <w:t>Disability</w:t>
      </w:r>
      <w:r>
        <w:rPr>
          <w:rFonts w:ascii="Times New Roman;Times;Serif" w:hAnsi="Times New Roman;Times;Serif"/>
          <w:b w:val="false"/>
          <w:i w:val="false"/>
          <w:caps w:val="false"/>
          <w:smallCaps w:val="false"/>
          <w:sz w:val="20"/>
        </w:rPr>
        <w:t>” shall have such meaning as is required by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the date on which the stockholders of the Company approve this Amended and Restated 2021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including Officers and Directors, employed by the Company or any Affiliate of the Company. Neither service as a Director nor payment of a director’s fee by the Company will be sufficient to constitute “employment”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Exchange Program</w:t>
      </w:r>
      <w:r>
        <w:rPr>
          <w:rFonts w:ascii="Times New Roman;Times;Serif" w:hAnsi="Times New Roman;Times;Serif"/>
          <w:b w:val="false"/>
          <w:i w:val="false"/>
          <w:caps w:val="false"/>
          <w:smallCaps w:val="false"/>
          <w:sz w:val="20"/>
        </w:rPr>
        <w:t>” means a program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 (A) any action described in Section 15 of the Plan or any action taken in connection with a Change in Control transaction nor (B) any transfer or other disposition permitted under Section 14 of the Plan. For the purpose of clarity, each of the actions described in the prior sentence (none of which constitutes an Exchange Program) may be undertaken or authorized by the Administrator in its sole discretion without approval by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the value of a Share of Common Stock determined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Common Stock is listed on any established stock exchange or a national market system, its Fair Market Value will be the closing sales price for such stock (or the closing bid, if no sales were reported) as quoted on such exchange or system on the day of determination, as reported in such source as the Administrator deems reliable;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Common Stock is regularly quoted by a recognized securities dealer but selling prices are not reported, the Fair Market Value will be the mean between the high bid and low ask prices for the Common Stock on the day of determination, as reported in such source as the Administrator deems reliable;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absence of an established market for the Common Stock, the Fair Market Value will be determined in good faith by the Administrator in compliance with Applicable Laws and in a manner that complies with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Fiscal Year</w:t>
      </w:r>
      <w:r>
        <w:rPr>
          <w:rFonts w:ascii="Times New Roman;Times;Serif" w:hAnsi="Times New Roman;Times;Serif"/>
          <w:b w:val="false"/>
          <w:i w:val="false"/>
          <w:caps w:val="false"/>
          <w:smallCaps w:val="false"/>
          <w:sz w:val="20"/>
        </w:rPr>
        <w:t>” means the fiscal year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Option that by its terms qualifies and is intended to qualify as an incentive stock option within the meaning of Section 422 of the Code and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Independent Contractor</w:t>
      </w:r>
      <w:r>
        <w:rPr>
          <w:rFonts w:ascii="Times New Roman;Times;Serif" w:hAnsi="Times New Roman;Times;Serif"/>
          <w:b w:val="false"/>
          <w:i w:val="false"/>
          <w:caps w:val="false"/>
          <w:smallCaps w:val="false"/>
          <w:sz w:val="20"/>
        </w:rPr>
        <w:t>” means any person, including an advisor, consultant or agent, engaged by the Company or any Affiliate to render services to such entity or who renders, or has rendered, services to the Company or any Affiliate and is compensated for such services.</w:t>
      </w:r>
    </w:p>
    <w:p>
      <w:pPr>
        <w:pStyle w:val="TextBody"/>
        <w:bidi w:val="0"/>
        <w:spacing w:before="0" w:after="0"/>
        <w:ind w:left="12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p>
      <w:pPr>
        <w:pStyle w:val="TextBody"/>
        <w:bidi w:val="0"/>
        <w:spacing w:before="0" w:after="0"/>
        <w:ind w:left="0" w:right="0" w:hanging="0"/>
        <w:jc w:val="left"/>
        <w:rPr/>
      </w:pPr>
      <w:r>
        <w:rPr/>
        <w:t> </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Inside Director</w:t>
      </w:r>
      <w:r>
        <w:rPr>
          <w:rFonts w:ascii="Times New Roman;Times;Serif" w:hAnsi="Times New Roman;Times;Serif"/>
          <w:b w:val="false"/>
          <w:i w:val="false"/>
          <w:caps w:val="false"/>
          <w:smallCaps w:val="false"/>
          <w:sz w:val="20"/>
        </w:rPr>
        <w:t>” means a Director who is an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Insider</w:t>
      </w:r>
      <w:r>
        <w:rPr>
          <w:rFonts w:ascii="Times New Roman;Times;Serif" w:hAnsi="Times New Roman;Times;Serif"/>
          <w:b w:val="false"/>
          <w:i w:val="false"/>
          <w:caps w:val="false"/>
          <w:smallCaps w:val="false"/>
          <w:sz w:val="20"/>
        </w:rPr>
        <w:t>” means an Officer or Director or any other person whose transactions in Common Stock are subject to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Nonstatutory Stock Option</w:t>
      </w:r>
      <w:r>
        <w:rPr>
          <w:rFonts w:ascii="Times New Roman;Times;Serif" w:hAnsi="Times New Roman;Times;Serif"/>
          <w:b w:val="false"/>
          <w:i w:val="false"/>
          <w:caps w:val="false"/>
          <w:smallCaps w:val="false"/>
          <w:sz w:val="20"/>
        </w:rPr>
        <w:t>” means an Option that by its terms does not qualify or is not intended to qualify as an Incentive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 stock option granted pursuant to the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caps w:val="false"/>
          <w:smallCaps w:val="false"/>
          <w:sz w:val="20"/>
        </w:rPr>
        <w:t>Outside Director</w:t>
      </w:r>
      <w:r>
        <w:rPr>
          <w:rFonts w:ascii="Times New Roman;Times;Serif" w:hAnsi="Times New Roman;Times;Serif"/>
          <w:b w:val="false"/>
          <w:i w:val="false"/>
          <w:caps w:val="false"/>
          <w:smallCaps w:val="false"/>
          <w:sz w:val="20"/>
        </w:rPr>
        <w:t>” means a Director who is not an Employee.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the holder of an outstanding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caps w:val="false"/>
          <w:smallCaps w:val="false"/>
          <w:sz w:val="20"/>
        </w:rPr>
        <w:t>Performance Goal</w:t>
      </w:r>
      <w:r>
        <w:rPr>
          <w:rFonts w:ascii="Times New Roman;Times;Serif" w:hAnsi="Times New Roman;Times;Serif"/>
          <w:b w:val="false"/>
          <w:i w:val="false"/>
          <w:caps w:val="false"/>
          <w:smallCaps w:val="false"/>
          <w:sz w:val="20"/>
        </w:rPr>
        <w:t>” means a formula or standard determined by the Administrator with respect to each Performance Period based on one or more of the following criteria and any adjustment(s) thereto established by the Administrator: (i) sales or non-sales revenue; (ii) return on revenue; (iii) operating income; (iv) income or earnings including operating income; (v) income or earnings before or after taxes, interest, depreciation and/or amortization; (vi) income or earnings from continuing operations; (vii) net income; (viii) pre-tax income or after- tax income; (ix) net income excluding amortization of intangible assets, depreciation and impairment of goodwill and intangible assets and/or excluding charges attributable to the adoption of new accounting pronouncements; (x) raising of financing or fundraising; (xi) project financing; (xii) revenue or revenue backlog; (xiii) gross margin; (xiv) operating margin or profit margin; (xv) capital expenditures, cost targets, reductions and savings and expense management; (xvi) return on assets (gross or net), return on investment, return on capital, or return on stockholder equity; (xvii) cash flow, operating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completion of strategic agreements such as licenses, joint ventures, acquisitions, and the like, geographic business expansion, objective customer satisfaction or information technology goals, intellectual property asset metrics; (xxiv) objective goals relating to divestitures, joint ventures, mergers, acquisitions and similar transactions; (xxv) objective goals relating to staff management, results from staff attitude and/or opinion surveys, staff satisfaction scores, staff safety, staff accident and/or injury rates, compliance, headcount, performance management or completion of critical staff training initiatives; (xxvi) objective goals relating to projects, including project completion, timing and/or achievement of milestones, project budget, technical progress against work plans; and (xxvii) enterprise resource planning. Awards issued to Participants may take into account other criteria (including subjective criteria). Performance Goals may differ from Participant to Participant, Performance Period to Performance Period and from Award to Award. Any criteria used may be measured, as applicable, (A) in absolute terms, (B) in relative terms (including, but not limited to, any increase (or decrease) over the passage of time and/or any measurement against other companies or financial or business or stock index metrics particular to the Company), (C) on a per share and/or share per capita basis, (D) against the performance of the Company as a whole or against any Affiliate(s), particular segment(s), business unit(s) or product(s) of the Company or individual project company, (E) on a pre-tax or after-tax basis, (F) on a GAAP or non-GAAP basis, and/or (G) using an actual foreign exchange rate or on a foreign exchange neutral basis.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caps w:val="false"/>
          <w:smallCaps w:val="false"/>
          <w:sz w:val="20"/>
        </w:rPr>
        <w:t>Performance Period</w:t>
      </w:r>
      <w:r>
        <w:rPr>
          <w:rFonts w:ascii="Times New Roman;Times;Serif" w:hAnsi="Times New Roman;Times;Serif"/>
          <w:b w:val="false"/>
          <w:i w:val="false"/>
          <w:caps w:val="false"/>
          <w:smallCaps w:val="false"/>
          <w:sz w:val="20"/>
        </w:rPr>
        <w:t>” means the time period during which the Performance Goals or other vesting provisions must be satisfied for Awards. Performance Periods may be of varying and overlapping duration, at the sole discretion of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caps w:val="false"/>
          <w:smallCaps w:val="false"/>
          <w:sz w:val="20"/>
        </w:rPr>
        <w:t>Period of Restriction</w:t>
      </w:r>
      <w:r>
        <w:rPr>
          <w:rFonts w:ascii="Times New Roman;Times;Serif" w:hAnsi="Times New Roman;Times;Serif"/>
          <w:b w:val="false"/>
          <w:i w:val="false"/>
          <w:caps w:val="false"/>
          <w:smallCaps w:val="false"/>
          <w:sz w:val="20"/>
        </w:rPr>
        <w:t>” means the period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2021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caps w:val="false"/>
          <w:smallCaps w:val="false"/>
          <w:sz w:val="20"/>
        </w:rPr>
        <w:t>Prior Plan</w:t>
      </w:r>
      <w:r>
        <w:rPr>
          <w:rFonts w:ascii="Times New Roman;Times;Serif" w:hAnsi="Times New Roman;Times;Serif"/>
          <w:b w:val="false"/>
          <w:i w:val="false"/>
          <w:caps w:val="false"/>
          <w:smallCaps w:val="false"/>
          <w:sz w:val="20"/>
        </w:rPr>
        <w:t>” means the Company’s 2019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caps w:val="false"/>
          <w:smallCaps w:val="false"/>
          <w:sz w:val="20"/>
        </w:rPr>
        <w:t>Restricted Stock</w:t>
      </w:r>
      <w:r>
        <w:rPr>
          <w:rFonts w:ascii="Times New Roman;Times;Serif" w:hAnsi="Times New Roman;Times;Serif"/>
          <w:b w:val="false"/>
          <w:i w:val="false"/>
          <w:caps w:val="false"/>
          <w:smallCaps w:val="false"/>
          <w:sz w:val="20"/>
        </w:rPr>
        <w:t>” means Shares issued pursuant to a Restricted Stock Award under Section 7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caps w:val="false"/>
          <w:smallCaps w:val="false"/>
          <w:sz w:val="20"/>
        </w:rPr>
        <w:t>Restricted Stock Unit</w:t>
      </w:r>
      <w:r>
        <w:rPr>
          <w:rFonts w:ascii="Times New Roman;Times;Serif" w:hAnsi="Times New Roman;Times;Serif"/>
          <w:b w:val="false"/>
          <w:i w:val="false"/>
          <w:caps w:val="false"/>
          <w:smallCaps w:val="false"/>
          <w:sz w:val="20"/>
        </w:rPr>
        <w:t>” means a bookkeeping entry representing an amount equal to the Fair Market Value of one Share, granted pursuant to Section 8 of the Plan. Each Restricted Stock Unit represents an unfunded and unsecured obligation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of the Exchange Act or any successor to Rule 16b-3, as in effect when discretion is being exercised with respect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caps w:val="false"/>
          <w:smallCaps w:val="false"/>
          <w:sz w:val="20"/>
        </w:rPr>
        <w:t>Section 16(b)</w:t>
      </w:r>
      <w:r>
        <w:rPr>
          <w:rFonts w:ascii="Times New Roman;Times;Serif" w:hAnsi="Times New Roman;Times;Serif"/>
          <w:b w:val="false"/>
          <w:i w:val="false"/>
          <w:caps w:val="false"/>
          <w:smallCaps w:val="false"/>
          <w:sz w:val="20"/>
        </w:rPr>
        <w:t>” means Section 16(b)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caps w:val="false"/>
          <w:smallCaps w:val="false"/>
          <w:sz w:val="20"/>
        </w:rPr>
        <w:t>Section 409A of the Code</w:t>
      </w:r>
      <w:r>
        <w:rPr>
          <w:rFonts w:ascii="Times New Roman;Times;Serif" w:hAnsi="Times New Roman;Times;Serif"/>
          <w:b w:val="false"/>
          <w:i w:val="false"/>
          <w:caps w:val="false"/>
          <w:smallCaps w:val="false"/>
          <w:sz w:val="20"/>
        </w:rPr>
        <w:t>” means Section 409A of the Code and any final Treasury Regulations and Internal Revenue Service guidance thereunder, as each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caps w:val="false"/>
          <w:smallCaps w:val="false"/>
          <w:sz w:val="20"/>
        </w:rPr>
        <w:t>Service Provider</w:t>
      </w:r>
      <w:r>
        <w:rPr>
          <w:rFonts w:ascii="Times New Roman;Times;Serif" w:hAnsi="Times New Roman;Times;Serif"/>
          <w:b w:val="false"/>
          <w:i w:val="false"/>
          <w:caps w:val="false"/>
          <w:smallCaps w:val="false"/>
          <w:sz w:val="20"/>
        </w:rPr>
        <w:t>” means an Employee, Director or Independent</w:t>
      </w:r>
    </w:p>
    <w:p>
      <w:pPr>
        <w:pStyle w:val="TextBody"/>
        <w:bidi w:val="0"/>
        <w:spacing w:before="0" w:after="0"/>
        <w:ind w:left="11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means a share of the Common Stock, as adjusted in accordance with Section 15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St</w:t>
      </w:r>
      <w:r>
        <w:rPr>
          <w:rFonts w:ascii="Times New Roman;Times;Serif" w:hAnsi="Times New Roman;Times;Serif"/>
          <w:b/>
          <w:i/>
          <w:caps w:val="false"/>
          <w:smallCaps w:val="false"/>
          <w:sz w:val="20"/>
        </w:rPr>
        <w:t>ock Appreciation Right</w:t>
      </w:r>
      <w:r>
        <w:rPr>
          <w:rFonts w:ascii="Times New Roman;Times;Serif" w:hAnsi="Times New Roman;Times;Serif"/>
          <w:b w:val="false"/>
          <w:i w:val="false"/>
          <w:caps w:val="false"/>
          <w:smallCaps w:val="false"/>
          <w:sz w:val="20"/>
        </w:rPr>
        <w:t>” means an Award, granted alone or in connection with an Option, that pursuant to Section 9 of the Plan is designated as a Stock Appreciation Right.</w:t>
      </w:r>
    </w:p>
    <w:p>
      <w:pPr>
        <w:pStyle w:val="TextBody"/>
        <w:bidi w:val="0"/>
        <w:spacing w:before="0" w:after="0"/>
        <w:ind w:left="119"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p>
      <w:pPr>
        <w:pStyle w:val="TextBody"/>
        <w:bidi w:val="0"/>
        <w:spacing w:before="0" w:after="0"/>
        <w:ind w:left="0" w:right="0" w:hanging="0"/>
        <w:jc w:val="left"/>
        <w:rPr/>
      </w:pPr>
      <w:r>
        <w:rPr/>
        <w:t> </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caps w:val="false"/>
          <w:smallCaps w:val="false"/>
          <w:sz w:val="20"/>
        </w:rPr>
        <w:t>Stock Bonus</w:t>
      </w:r>
      <w:r>
        <w:rPr>
          <w:rFonts w:ascii="Times New Roman;Times;Serif" w:hAnsi="Times New Roman;Times;Serif"/>
          <w:b w:val="false"/>
          <w:i w:val="false"/>
          <w:caps w:val="false"/>
          <w:smallCaps w:val="false"/>
          <w:sz w:val="20"/>
        </w:rPr>
        <w:t>” means an Award granted pursuant to Section 10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means any or all applicable national, local or other income tax, social insurance or other social contributions, national insurance, social security, payroll tax, fringe benefits tax, payment on account, withholding, required deductions or payments or other tax-related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 Subject to the provisions of Sections 3(b) and 15 of the Plan, the maximum aggregate number of Shares that may be issued under the Plan is (i) 2,515,704 Shares, plus (ii) the number of Shares subject to awards or issued under the Prior Plan that otherwise would have been returned to the Prior Plan on or after the Effective Date on account of the expiration, cancellation, forfeiture or repurchase of awards granted thereunder, with the maximum number of Shares to be added to the Plan pursuant to clause (ii) to be 464,486 Shares. The Shares may be authorized, but unissued, or reacquired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If all or any part of an Award expires, lapses or is terminated, exchanged for or settled in cash, surrendered, repurchased, canceled without having been fully exercised or forfeited, in any case, in a manner that results in the Company acquiring Shares covered by the Award at a price not greater than the price (as adjusted pursuant to Section 15(a)) paid by the Participant for such Shares or not issuing any Shares covered by the Award, the unused Shares covered by the Award will, as applicable, become or again be available for Award grants under the Plan. The payment of dividend equivalents in cash in conjunction with any outstanding Awards shall not count against the share limit set forth in Section 3(a). Notwithstanding anything to the contrary contained herein, the following Shares shall not be added to the Shares authorized for grant under Section 3(a) and shall not be available for future grants of Awards: (i) Shares subject to a Stock Appreciation Right that are not issued in connection with the stock settlement of the Stock Appreciation Right on exercise thereof; (ii) Shares purchased on the open market with the cash proceeds from the exercise of Options; and (iii) Shares delivered (either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Notwithstanding the foregoing, subject to the provisions of Section 15 below, the maximum aggregate number of Shares that may be issued under the Plan pursuant to the exercise of Incentive Stock Options shall equal the number set forth in Section 3(a).</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Assumption or Substitution of Awards by the Company</w:t>
      </w:r>
      <w:r>
        <w:rPr>
          <w:rFonts w:ascii="Times New Roman;Times;Serif" w:hAnsi="Times New Roman;Times;Serif"/>
          <w:b w:val="false"/>
          <w:i w:val="false"/>
          <w:caps w:val="false"/>
          <w:smallCaps w:val="false"/>
          <w:sz w:val="20"/>
        </w:rPr>
        <w:t>. The Administrator, from time to time, may determine to substitute or assume outstanding awards granted by another company, whether in connection with an acquisition, merger or consolidation of such other company or otherwise, by either: (i) assuming such award under this Plan or (ii) granting an Award under this Plan in substitution of such other company’s award. Such assumption or substitution will be permissible if the holder of the substituted or assumed award would have been eligible to be granted an Award under this Plan if the other company had applied the rules of this Plan to such grant. In the event the Administrator elects to assume an award granted by another company, subject to the requirements of Section 409A of the Code, the purchase price or the exercise price, as the case may be, and the number and nature of Shares issuable upon exercise or settlement of any such Award will be adjusted appropriately. In the event the Administrator elects to grant a new Option in substitution rather than assuming an existing option, such new Option may be granted with a similarly adjusted exercise price. Any awards that are assumed or substituted under this Plan shall not reduce the number of Shares authorized for grant under the Plan or authorized for grant to a Participant in any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Different Committees with respect to different groups of Service Providers may administer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To the extent desirable to qualify transactions hereunder as exempt under Rule 16b-3, the transactions contemplated hereunder will be structured to satisfy the requirements for exemption under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Other than as provided above, the Plan will be administered by (A) the Board or (B) a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Subject to the provisions of the Plan, the Administrator will have the authority, in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determine the Fair Market Value in accordance with Section 2(u)(iii)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select the Service Providers to whom Awards may be granted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covered by each Award granted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approve forms of Award Agreements for use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not inconsistent with the terms of the Plan, of any Award granted hereunder; such terms and conditions include, but are not limited to, the exercise price, the time or times when Awards may be exercised (which may be based on Performance Goals), any vesting acceleration or waiver of forfeiture restrictions, and any restriction or limitation regarding any Award or the Shares relating thereto, based in each case on such factors as the Administrator will determine;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institute and determine the terms and conditions of an Exchange Program; provided however, that the Administrator shall not implement an Exchange Program without the approval of the holders of a majority of the Shares that are present in person or by proxy and entitled to vote at any annual or special meeting of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construe and interpret the terms of the Plan and Awards granted pursuant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correct any defect, supply any omission or reconcile any inconsistency in this Plan, any Award or any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prescribe, amend and rescind rules and regulations relating to the Plan, including rules and regulations established for the purpose of satisfying non- U.S. Applicable Laws, for qualifying for favorable tax treatment under applicable non- U.S. Applicable Laws or facilitating compliance with non-U.S. Applicable Laws (sub-plans may be created for any of these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modify or amend each Award (subject to Section 22 of the Plan), including but not limited to the discretionary authority to extend the post-termination exercisability period of Awards, to accelerate vesting and to extend the maximum term of an Option (subject to Section 6(b) of the Plan regarding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adjust Performance Goals to take into account changes in Applicable Laws or in accounting or tax rules, or such other extraordinary, unforeseeable, nonrecurring or infrequently occurring events or circumstances as the Administrator deems necessary or appropriate to avoid windfalls or hardships;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to allow Participants to satisfy tax withholding obligations in such manner as prescribed in Section 16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authorize any person to execute on behalf of the Company any instrument required to effect the grant of an Award previously granted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to allow a Participant to defer the receipt of the payment of cash or the delivery of Shares that would otherwise be due to such Participant under an Award;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to make all other determinations deemed necessary or advisable for administering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The Administrator’s decisions, determinations and interpretations will be final and binding on all Participants and any other holders of Awards. Any dispute regarding the interpretation of the Plan or any Award Agreement shall be submitted by the Participant to the Company for review. Any Officer of the Company, including but not limited to Insiders, shall have the authority to review and resolve disputes with respect to Awards held by Participants who are not Insiders, and such resolution shall be final and binding on the Company and the Participant. Only a Committee comprised of two or more “non-employee directors” of the Board (as defined in the regulations promulgated under Section 16 of the Exchange Act) shall have the authority to review and resolve disputes with respect to Awards held by Participants who are Insiders, and such resolution shall be final and binding on the Company and the Participant.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Delegation</w:t>
      </w:r>
      <w:r>
        <w:rPr>
          <w:rFonts w:ascii="Times New Roman;Times;Serif" w:hAnsi="Times New Roman;Times;Serif"/>
          <w:b w:val="false"/>
          <w:i w:val="false"/>
          <w:caps w:val="false"/>
          <w:smallCaps w:val="false"/>
          <w:sz w:val="20"/>
        </w:rPr>
        <w:t>. To the extent permitted by Applicable Laws, the Board or Committee, in its sole discretion and on such terms and conditions as it may provide, may delegate all or any part of its authority and powers under the Plan to one or more Directors or officers of the Company who may be (but are not required to be) Insiders (each, a “</w:t>
      </w:r>
      <w:r>
        <w:rPr>
          <w:rFonts w:ascii="Times New Roman;Times;Serif" w:hAnsi="Times New Roman;Times;Serif"/>
          <w:b/>
          <w:i/>
          <w:caps w:val="false"/>
          <w:smallCaps w:val="false"/>
          <w:sz w:val="20"/>
        </w:rPr>
        <w:t>Delegate</w:t>
      </w:r>
      <w:r>
        <w:rPr>
          <w:rFonts w:ascii="Times New Roman;Times;Serif" w:hAnsi="Times New Roman;Times;Serif"/>
          <w:b w:val="false"/>
          <w:i w:val="false"/>
          <w:caps w:val="false"/>
          <w:smallCaps w:val="false"/>
          <w:sz w:val="20"/>
        </w:rPr>
        <w:t>”) to (i) designate Employees who are not Insiders to be recipients of Awards, (ii) determine the number of Shares to be subject to such Awards granted to such designated Employees, and (iii) take any and all actions on behalf of the Board or Committee other than any actions that affect the amount or form of compensation of Insiders or have material tax, accounting, financial, human resource or legal consequences to the Company or its Affiliates; provided, however, that the Board or Committee resolutions regarding any delegation with respect to (i) and (ii) will specify the total number of Shares that may be subject to the Awards granted by such Delegate and that such Delegate may not grant an Award to himself or herself. Any Awards will be granted on the form of Award Agreement most recently approved for use by the Board or Committee, unless otherwise provided in the resolutions approving the delegation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Administration of Awards Subject to Performance Goals</w:t>
      </w:r>
      <w:r>
        <w:rPr>
          <w:rFonts w:ascii="Times New Roman;Times;Serif" w:hAnsi="Times New Roman;Times;Serif"/>
          <w:b w:val="false"/>
          <w:i w:val="false"/>
          <w:caps w:val="false"/>
          <w:smallCaps w:val="false"/>
          <w:sz w:val="20"/>
        </w:rPr>
        <w:t>. The Administrator will, in its sole discretion, determine the Performance Goals, if any, applicable to any Award (including any adjustment(s) thereto that will be applied in determining the achievement of such Performance Goals) on or prior to the Determination Date. The Performance Goals may differ from Participant to Participant and from Award to Award. The Administrator shall determine and approve the extent to which such Performance Goals have been timely achieved and the extent to which the Shares subject to such Award have thereby been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Section 16 of the Exchange Act</w:t>
      </w:r>
      <w:r>
        <w:rPr>
          <w:rFonts w:ascii="Times New Roman;Times;Serif" w:hAnsi="Times New Roman;Times;Serif"/>
          <w:b w:val="false"/>
          <w:i w:val="false"/>
          <w:caps w:val="false"/>
          <w:smallCaps w:val="false"/>
          <w:sz w:val="20"/>
        </w:rPr>
        <w:t>. Awards granted to Participants who are Insiders must be approved by two or more “non-employee directors” of the Board (as defined in the regulations promulgated under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Each person who is or has been a member of the Administrator and each employee of the Company or an Affiliate who is a Delegate shall be indemnified and held harmless by the Company from and against any loss, cost, liability or expense that may be imposed upon or reasonably incurred by him or her in connection with or resulting from any claim, action, suit or proceeding to which he or she may be a party or in which he or she may be involved by reason of any action or failure to act under the Plan and against and from any and all amounts paid by him or her in satisfaction of judgment in any such action, suit or proceeding against him or her, provided such loss, cost, liability or expense is not attributable to such person’s willful misconduct. Any person seeking indemnification under this provision shall give the Company prompt notice of any claim and shall give the Company an opportunity, at its own expense, to handle and defend the same before the person undertakes to handle and defend such claim on his or her own behalf. The foregoing right of indemnification shall not be exclusive of any other rights of indemnification to which such persons may be entitled, including under the Company’s Articles of Incorporation or Bylaws, as a matter of Applicable Laws, or otherwise, or any power that the Company may have to indemnify them or hold them harmless.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Award Eligibility</w:t>
      </w:r>
      <w:r>
        <w:rPr>
          <w:rFonts w:ascii="Times New Roman;Times;Serif" w:hAnsi="Times New Roman;Times;Serif"/>
          <w:b w:val="false"/>
          <w:i w:val="false"/>
          <w:caps w:val="false"/>
          <w:smallCaps w:val="false"/>
          <w:sz w:val="20"/>
        </w:rPr>
        <w:t>. Nonstatutory Stock Options, Stock Appreciation Rights, Restricted Stock, Restricted Stock Units and Stock Bonuses may be granted to Service Providers. Incentive Stock Options may be granted only to Employees. Eligibility for Incentive Stock Options is limited to individuals described in the first sentence of this Section 5 who are Employees of the Company or of a “parent corporation” or “subsidiary corporation” of the Company as those terms are defined in Section 424 of the Code.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Affiliate)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date the Option with respect to such Shares is granted. With respect to the Administrator’s authority in Section 4(b)(x) of the Plan, if, at the time of any such extension, the exercise price per Share of the Option is less than the Fair Market Value of a Share, the extension shall, unless otherwise determined by the Administrator, be limited to the earlier of (i) the maximum term of the Option as set by its original terms, or (ii) ten (10) years from the grant date. Unless otherwise determined by the Administrator, any extension of the term of an Option pursuant to this Section 6(a) shall comply with Section 409A of the Code to the extent necessary to avoid taxation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Affiliate, the term of the Incentive Stock Option will be five (5) years from the date of grant or such shorter term as may be provided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an Option will be determined by the Administrator, subject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an Incentive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granted to an Employee who, at the time the Incentive Stock Option is granted, owns stock representing more than ten percent (10%) of the voting power of all classes of stock of the Company or any Affiliate, the per Share exercise price will be no less than one hundred ten percent (110%) of the Fair Market Value per Share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granted to any Employee other than an Employee described in paragraph (A) immediately above, the per Share exercise price will be no less than one hundred percent (100%) of the Fair Market Value per Share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Nonstatutory Stock Option, the per Share exercise price will be no less than one hundred percent (100%) of the Fair Market Value per Share on the date of grant.</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Vesting and Exercisability</w:t>
      </w:r>
      <w:r>
        <w:rPr>
          <w:rFonts w:ascii="Times New Roman;Times;Serif" w:hAnsi="Times New Roman;Times;Serif"/>
          <w:b w:val="false"/>
          <w:i w:val="false"/>
          <w:caps w:val="false"/>
          <w:smallCaps w:val="false"/>
          <w:sz w:val="20"/>
        </w:rPr>
        <w:t>. At the time an Option is granted, the Administrator will fix the period within which the Option may vest and/or be exercised and will determine any conditions that must be satisfied before the Option may vest and/or be exercised. An Option will vest and/or become exercisable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an Option vests and/or becomes exercisable based upon the satisfaction of Performance Goals, then the Administrator will: (A) determine the nature, length and starting date of any Performance Period; (B) select the Performance Goals to be used to measure the performance; and</w:t>
      </w:r>
    </w:p>
    <w:p>
      <w:pPr>
        <w:pStyle w:val="TextBody"/>
        <w:bidi w:val="0"/>
        <w:spacing w:before="0" w:after="0"/>
        <w:ind w:left="486" w:right="0" w:hanging="36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determine what additional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(A) cash; (B) check; (C) promissory note, to the extent permitted by Applicable Laws; (D)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(E) consideration received by the Company under a broker-assisted (or other)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will be deemed exercised when the Company receives:(a) a notice of exercise (in such form as the Administrator may specify from time to time) from the person entitled to exercise the Option, and (b) full payment for the Shares with respect to which the Option is exercised (together with full payment of any applicable taxes or other amounts required to be withheld or deducted with respect to the Option).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If a Participant ceases to be a Service Provider, other than upon the Participant’s termination as the result of the Participant’s death, Disability or Cause,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on the date of termination the Participant is not vested as to his or her entire Option, the Shares covered by the unvested portion of the Option will revert to the Plan. If the Option is not so exercised within the time specified herein, the Option will terminate, and the Shares covered by such Option will revert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a Participant ceases to be a Service Provider as a result of being terminated for Cause, any outstanding Option (including any vested portion thereof) held by such Participant shall immediately terminate in its entirety upon the Participant being first notified of his or her termination for Cause and the Participant will be prohibited from exercising his or her Option from and after the date of such notification. All the Participant’s rights under any Option, including the right to exercise the Option, may be suspended pending an investigation of whether Participant will be terminated for Cause.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Period of Restriction has lapsed. The Period of Restriction will lapse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the Period of Restriction will lapse upon the satisfaction of Performance Goals, then the Administrator will: (i) determine the nature, length and starting date of any Performance Period; (ii) select the Performance Goals to be used to measure the performance; and (iii) determine what additional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this Section 7 or the Award Agreement, Shares of Restricted Stock may not be sold, transferred, pledged, assigned, or otherwise alienated or hypothecated until the end of the applicable Period of Restriction.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The Administrator, in its sole discretion, may impose such other restrictions on Shares of Restricted Stock as it may deem advisable or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During the Period of Restriction, Service Providers holding Shares of Restricted Stock will be entitled to receive all dividends and other distributions paid with respect to such Shares, unless the Administrator provides otherwise. All such dividends or other distributions will be subject to the same terms, restrictions and risk of forfeiture as the Shares of Restricted Stock with respect to which the dividends or other distributions accrue and shall not be paid or distributed unless and until such related Shares have vested and been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On the date set forth in the Award Agreement, the Restricted Stock for which restrictions have not lapsed will be cancelled and returned as unissued Shares to the Company and again will become available for grant under the Plan.</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 Units</w:t>
      </w:r>
      <w:r>
        <w:rPr>
          <w:rFonts w:ascii="Times New Roman;Times;Serif" w:hAnsi="Times New Roman;Times;Serif"/>
          <w:b w:val="false"/>
          <w:i w:val="false"/>
          <w:caps w:val="false"/>
          <w:smallCaps w:val="false"/>
          <w:sz w:val="20"/>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The Administrator will set the vesting criteria and other terms of the Restricted Stock Units in its discretion, which, depending on the extent to which the vesting criteria and other terms are met, will determine the number of Restricted Stock Units that will be paid out to the Participant. A Restricted Stock Unit Award will vest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Restricted Stock Units vest based upon the satisfaction of Performance Goals, then the Administrator will: (i) determine the nature, length and starting date of any Performance Period; (ii) select the Performance Goals to be used to measure the performance; and (iii) determine what additional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Upon meeting the applicable vesting criteria and other conditions, the Participant will be entitled to receive a payout as determined by the Administrator. Notwithstanding the foregoing, at any time after the grant of Restricted Stock Units, the Administrator, in its sole discretion, may reduce or waive any vesting criteria or other conditions that must be met to receive a payout.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The Administrator may, in its sole discretion, award dividend equivalents in connection with the grant of Restricted Stock Units that may be settled in cash, in Shares of equivalent value, or in some combination thereof. The Administrator may provide that such dividend equivalents shall be paid or distributed when accrued or at a later specified date and, if distributed at a later date, may be deemed to have been reinvested in additional Shares, Awards, or other investment vehicles or accrued in a bookkeeping account without interest, and subject to such restrictions on transferability and risks of forfeiture, as the Administrator may specify. Absent a contrary provision in an Award Agreement, such dividend equivalents shall be subject to the same terms, restrictions and risk of forfeiture as the Restricted Stock Units with respect to which the dividends accrue and shall not be paid or settled unless and until the related Restricted Stock Units have vested and been earned. To the extent applicable, any such dividend equivalents will comply with Section 409A of the Code or other similar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On the date set forth in the Award Agreement, all Shares underlying any unvested or unearned Restricted Stock Units will be forfeited to the Company for future issuance.</w:t>
      </w:r>
    </w:p>
    <w:p>
      <w:pPr>
        <w:pStyle w:val="TextBody"/>
        <w:bidi w:val="0"/>
        <w:spacing w:before="0" w:after="0"/>
        <w:ind w:left="120" w:right="0" w:firstLine="144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B-15</w:t>
            </w:r>
          </w:p>
        </w:tc>
      </w:tr>
    </w:tbl>
    <w:p>
      <w:pPr>
        <w:pStyle w:val="TextBody"/>
        <w:bidi w:val="0"/>
        <w:spacing w:before="0" w:after="0"/>
        <w:ind w:left="0" w:right="0" w:hanging="0"/>
        <w:jc w:val="left"/>
        <w:rPr/>
      </w:pPr>
      <w:r>
        <w:rPr/>
        <w:t> </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Subject to the terms and conditions of the Plan, a Stock Appreciation Right may be granted to Service Providers at any time and from time to time as will be determined by the Administrator,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have complete discretion to determine the number of Stock Appreciation Rights granted to any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per Share exercise price for the Shares to be issued pursuant to exercise of a Stock Appreciation Right will be determined by the Administrator and will be no less than one hundred percent (100%) of the Fair Market Value per Share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Other than the per Share exercise price, the Administrator, subject to the provisions of the Plan, will have complete discretion to determine the terms and conditions of Stock Appreciation Rights granted under the Plan. Each Stock Appreciation Right grant will be evidenced by an Award Agreement that will specify the exercise price, the term of the Stock Appreciation Right, the conditions of vesting and/or exercise, and such other terms and conditions as the Administrator, in its sole discretion, will determine. A Stock Appreciation Right will vest and/or become exercisable at such times and upon such terms as are determined by the Administrator, which may include upon the completion of a specified period of service with the Company or an Affiliate and/or be based upon the achievement of Performance Goals during a Performance Period as set out in advance in the Participant’s Award Agreement. If a Stock Appreciation Right vests and/or becomes exercisable based upon on the satisfaction of Performance Goals, then the Administrator will: (i) determine the nature, length and starting date of any Performance Period; (ii) select the Performance Goals to be used to measure the performance; and (iii) determine what additional conditions, if any, should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A Stock Appreciation Right granted under the Plan will expire upon the date determined by the Administrator, in its sole discretion, and set forth in the Award Agreement. Notwithstanding the foregoing, the rules of Section 6(b) of the Plan relating to the maximum term and Section 6(d) of the Plan relating to exercise also will apply to 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Upon exercise of a Stock Appreciation Right, a Participant will be entitled to receive payment from the Company in an amount determined by multiplying: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difference between the Fair Market Value of a Share on the date of exercise over the exercise price;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number of Shares with respect to which the Stock Appreciation Right is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discretion of the Administrator, the payment upon Stock Appreciation Right exercise may be in cash, in Shares of equivalent value, or in some combination thereof.</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Stock Bonuses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Awards of Stock Bonuses</w:t>
      </w:r>
      <w:r>
        <w:rPr>
          <w:rFonts w:ascii="Times New Roman;Times;Serif" w:hAnsi="Times New Roman;Times;Serif"/>
          <w:b w:val="false"/>
          <w:i w:val="false"/>
          <w:caps w:val="false"/>
          <w:smallCaps w:val="false"/>
          <w:sz w:val="20"/>
        </w:rPr>
        <w:t>. A Stock Bonus is an Award of Shares to an eligible person without a purchase price that is not subject to any restrictions. All Stock Bonuses may but are not required to be made pursuant to an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The Administrator will determine the number of Shares to be awarded to the Participant under a Stock Bonus and any other terms applicable to such Stock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Form of Payment to Participant</w:t>
      </w:r>
      <w:r>
        <w:rPr>
          <w:rFonts w:ascii="Times New Roman;Times;Serif" w:hAnsi="Times New Roman;Times;Serif"/>
          <w:b w:val="false"/>
          <w:i w:val="false"/>
          <w:caps w:val="false"/>
          <w:smallCaps w:val="false"/>
          <w:sz w:val="20"/>
        </w:rPr>
        <w:t>. Payment may be made in the form of cash, whole Shares, or a combination thereof, based on the Fair Market Value of the Shares subject to the Stock Bonus on the date of payment, as determined in the sole discretion of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Outside Director Limitations</w:t>
      </w:r>
      <w:r>
        <w:rPr>
          <w:rFonts w:ascii="Times New Roman;Times;Serif" w:hAnsi="Times New Roman;Times;Serif"/>
          <w:b w:val="false"/>
          <w:i w:val="false"/>
          <w:caps w:val="false"/>
          <w:smallCaps w:val="false"/>
          <w:sz w:val="20"/>
        </w:rPr>
        <w:t>. Stock awards granted during a single Fiscal Year under the Plan or otherwise, taken together with any cash fees paid during such Fiscal Year for services on the Board, shall not exceed (a) $1,000,000 in total value for any Outside Director serving in his or her first year of service as an Outside Director and (b) $500,000 in total value for any other Outside Director (calculating the value of any such stock awards based on the grant date fair value of such stock awards for financial reporting purposes). Such applicable limit shall include the value of any stock awards that are received in lieu of all or a portion of any annual committee cash retainers or other similar cash-based payments. Stock awards granted to an individual while he or she was serving in the capacity as an Employee or while he or she was an Independent Contractor but not an Outside Director will not count for purposes of the limitations set forth in this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Leaves of Absence/Transfer Between Locations</w:t>
      </w:r>
      <w:r>
        <w:rPr>
          <w:rFonts w:ascii="Times New Roman;Times;Serif" w:hAnsi="Times New Roman;Times;Serif"/>
          <w:b w:val="false"/>
          <w:i w:val="false"/>
          <w:caps w:val="false"/>
          <w:smallCaps w:val="false"/>
          <w:sz w:val="20"/>
        </w:rPr>
        <w:t>. The Administrator shall have the discretion to determine at any time whether and to what extent the vesting of Awards shall be suspended during any leave of absence; provided, however, that in the absence of such determination, vesting of Awards shall continue during any paid leave and shall be suspended during any unpaid leave (unless otherwise required by Applicable Laws). A Participant will not cease to be an Employee in the case of (a) any leave of absence approved by the Participant’s employer or (b) transfers between locations of the Company or between the Company or any Affiliate. If an Employee is holding an Incentive Stock Option and such leave exceeds three (3) months then, for purposes of Incentive Stock Option status only, such Employee’s service as an Employee shall be deemed terminated on the first (1st) day following such three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Change in Time Commitment</w:t>
      </w:r>
      <w:r>
        <w:rPr>
          <w:rFonts w:ascii="Times New Roman;Times;Serif" w:hAnsi="Times New Roman;Times;Serif"/>
          <w:b w:val="false"/>
          <w:i w:val="false"/>
          <w:caps w:val="false"/>
          <w:smallCaps w:val="false"/>
          <w:sz w:val="20"/>
        </w:rPr>
        <w:t>. In the event a Participant’s regular level of time commitment in the performance of his or her services for the Company or any Affiliates is reduced (for example, and without limitation, if the Participant is an Employee of the Company and the Employee has a change in status from full-time to part-time or takes an extended leave of absence) after the date of grant of any Award, the Administrator, in its sole discretion, may, subject to Applicable Laws, (a) make a corresponding reduction in the number of Shares or cash amount subject to any portion of such Award that is scheduled to vest, become exercisable and/or become payable after the date of such change in time commitment, and (b) in lieu of or in combination with such a reduction, extend the vesting, exercise or payout schedule applicable to such Award (in accordance with Section 409A of the Code, as applicable). In the event of any such reduction, the Participant will have no right with respect to any portion of the Award that is so reduced.</w:t>
      </w:r>
    </w:p>
    <w:p>
      <w:pPr>
        <w:pStyle w:val="TextBody"/>
        <w:bidi w:val="0"/>
        <w:spacing w:before="0" w:after="0"/>
        <w:ind w:left="0" w:right="0" w:firstLine="72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B-17</w:t>
            </w:r>
          </w:p>
        </w:tc>
      </w:tr>
    </w:tbl>
    <w:p>
      <w:pPr>
        <w:pStyle w:val="TextBody"/>
        <w:bidi w:val="0"/>
        <w:spacing w:before="0" w:after="0"/>
        <w:ind w:left="0" w:right="0" w:hanging="0"/>
        <w:jc w:val="left"/>
        <w:rPr/>
      </w:pPr>
      <w:r>
        <w:rPr/>
        <w:t> </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The designation of a beneficiary or the transfer to the beneficiary in accordance with Section 26 of the Plan will not constitute a transfer for purposes of this Section 14. If the Administrator makes an Award transferable, such Award will contain such additional terms and conditions as the Administrator deems appropriate provided, however, that in no event may any Award be transferred for consideration to a third- party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diminution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Notwithstanding the forgoing, all adjustments under this Section 15 shall be made in a manner that does not result in taxation under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In the event of the proposed winding up, dissolution or liquidation of the Company, the Administrator will notify each Participant as soon as practicable prior to the effective date of such proposed transaction. To the extent it has not been previously exercised or settled, an Award will terminate immediately prior to the consummation of such proposed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Corporate Transaction</w:t>
      </w:r>
      <w:r>
        <w:rPr>
          <w:rFonts w:ascii="Times New Roman;Times;Serif" w:hAnsi="Times New Roman;Times;Serif"/>
          <w:b w:val="false"/>
          <w:i w:val="false"/>
          <w:caps w:val="false"/>
          <w:smallCaps w:val="false"/>
          <w:sz w:val="20"/>
        </w:rPr>
        <w:t>. In the event of (i) a transfer of all or substantially all of the Company’s assets, (ii) a merger, consolidation or other capital reorganization or business combination transaction of the Company with or into another corporation, entity or person, (iii) the consummation of a transaction, or series of related transactions, in which any “person” (as such term is used in Sections 13(d) and 14(d) of the Exchange Act) becomes the “beneficial owner” (as defined in Rule 13d-3 of the Exchange Act), directly or indirectly, of more than 50% of the Company’s then outstanding capital stock, or (iv) a Change in Control (each, a “</w:t>
      </w:r>
      <w:r>
        <w:rPr>
          <w:rFonts w:ascii="Times New Roman;Times;Serif" w:hAnsi="Times New Roman;Times;Serif"/>
          <w:b/>
          <w:i/>
          <w:caps w:val="false"/>
          <w:smallCaps w:val="false"/>
          <w:sz w:val="20"/>
        </w:rPr>
        <w:t>Corporate Transaction</w:t>
      </w:r>
      <w:r>
        <w:rPr>
          <w:rFonts w:ascii="Times New Roman;Times;Serif" w:hAnsi="Times New Roman;Times;Serif"/>
          <w:b w:val="false"/>
          <w:i w:val="false"/>
          <w:caps w:val="false"/>
          <w:smallCaps w:val="false"/>
          <w:sz w:val="20"/>
        </w:rPr>
        <w:t>”), each outstanding Award (vested or unvested) will be treated as the Administrator determines, which determination may be made without the consent of any Participant and need not treat all outstanding Awards (or portion thereof) in an identical manner. 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awards for such outstanding Awards; (D) the cancellation of such outstanding Awards in exchange for a payment to the Participants equal to the excess of (1) the Fair Market Value of the Shares subject to such Awards as of the closing date of such Corporate Transaction over (2) the exercise price or purchase price paid or to be paid (if any) for the Shares subject to the Awards; provided further, that at the discretion of the Administrator, such payment may be subject to the same conditions that apply to the consideration that will be paid to holders of Shares in connection with the transaction; provided, however, that any payout in connection with a terminated Award shall comply with Section 409A of the Code to the extent necessary to avoid taxation thereunder; (E) the full or partial acceleration of vesting, exercisability, payout or accelerated expiration of such outstanding Awards or the lapse of the Company’s right to repurchase or reacquire Shares acquired under such outstanding Awards or the lapse of forfeiture rights with respect to Shares acquired under such outstanding Awards; (F) the opportunity for Participants to exercise outstanding Options and/or Stock Appreciation Rights prior to the occurrence of the Corporate Transaction and the termination (for no consideration) upon the consummation of such Corporate Transaction of any such Options and/or Stock Appreciation Rights not exercised prior thereto for no consideration; or (G) the cancellation of such outstanding Awards in exchange for no consideration.</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An Award may be subject to additional acceleration of vesting, exercisability, payment and/or expiration upon or after a Change in Control as may be provided in the Award Agreement for such Award or as may be provided in any other written agreement between the Company or any Affiliate and the Participant, but in the absence of such provisions, no such acceleration will occur (unless otherwise determined by the Administrator pursuant to Section 15(c)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Prior to the delivery of any Shares or cash pursuant to an Award (or exercise thereof) or prior to any time the Award or Shares are subject to taxation or other Tax-Related Items, the Company and/or the Participant’s employer will have the power and the right to deduct or withhold, or require a Participant to remit to the Company (or an Affiliate), an amount sufficient to satisfy any Tax-Related Items or other items that are required to be withheld or deducted or are otherwise applicable with respect to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The Administrator, in its sole discretion and pursuant to such procedures as it may specify from time to time, may permit a Participant to satisfy such withholding or deduction obligations or any other Tax-Related Items, in whole or in part by (without limitation) (i) paying cash, (ii) electing to have the Company withhold otherwise deliverable cash or Shares, (iii) delivering to the Company already-owned Shares or (iv) such other method as may be set forth in the Award Agreement; provided that, unless specifically permitted by the Company, any proceeds derived from a cashless exercise must be an approved broker-assisted cashless exercise or the cash or Shares withheld or delivered must be limited to avoid financial accounting charges under applicable accounting guidance or Shares must have been previously held for the minimum duration required to avoid financial accounting charges under applicable accounting guidance. The Fair Market Value of the Shares to be withheld or delivered will be determined based on such methodology that the Company deems to be reasonable and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With Section 409A of the Code</w:t>
      </w:r>
      <w:r>
        <w:rPr>
          <w:rFonts w:ascii="Times New Roman;Times;Serif" w:hAnsi="Times New Roman;Times;Serif"/>
          <w:b w:val="false"/>
          <w:i w:val="false"/>
          <w:caps w:val="false"/>
          <w:smallCaps w:val="false"/>
          <w:sz w:val="20"/>
        </w:rPr>
        <w:t>. Awards will be 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The Plan and each Award Agreement under the Plan is intended to meet the requirements of Section 409A of the Code (or an exemption therefrom) and will be construed and interpreted in accordance with such intent, except as otherwise determined in the sole discretion of the Administrator. To the extent that an Award or payment, or the settlement or deferral thereof, is subject to Section 409A of the Code the Award will be granted, paid, settled or deferred in a manner that will meet the requirements of Section 409A of the Code (or an exemption therefrom), such that the grant, payment, settlement or deferral will not be subject to the additional tax or interest applicable under Section 409A of the Code. In no event will the Company be responsible for or reimburse a Participant for any taxes or other penalties incurred as a result of applicable of Section 409A of the Code.</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Neither the Plan nor any Award will confer upon a Participant any right with respect to continuing the Participant’s relationship as a Service Provider with the Company or any Affiliate, nor will they interfere in any way with the Participant’s right or the Company’s or any Affiliate’s right to terminate such relationship at any time, with or without cause, to the extent permitted by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Corporate Records Control</w:t>
      </w:r>
      <w:r>
        <w:rPr>
          <w:rFonts w:ascii="Times New Roman;Times;Serif" w:hAnsi="Times New Roman;Times;Serif"/>
          <w:b w:val="false"/>
          <w:i w:val="false"/>
          <w:caps w:val="false"/>
          <w:smallCaps w:val="false"/>
          <w:sz w:val="20"/>
        </w:rPr>
        <w: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Clawback/Recovery</w:t>
      </w:r>
      <w:r>
        <w:rPr>
          <w:rFonts w:ascii="Times New Roman;Times;Serif" w:hAnsi="Times New Roman;Times;Serif"/>
          <w:b w:val="false"/>
          <w:i w:val="false"/>
          <w:caps w:val="false"/>
          <w:smallCaps w:val="false"/>
          <w:sz w:val="20"/>
        </w:rPr>
        <w:t>. The Administrator may specify in an Award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 shall be subject to the Company’s clawback policy as may be established and/or amended from time to time. The Administrator may require a Participant to forfeit or return to and/or reimburse the Company for all or a portion of the Award and/or Shares issued under the Award, any amounts paid under the Award, and any payments or proceeds paid or provided upon disposition of the Shares issued under the Award, pursuant to the terms of such Company policy or as necessary or appropriate to comply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Subject to Section 25 of the Plan, the Plan will become effective as of the Effective Date. The Plan will continue in effect for a term of ten (10) years measured from the earlier of the date the Board approves this Plan or the approval of this Plan by the Company’s stockholders, unless terminated earlier under Section 22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The Administrator may at any time amend, alter, suspend or terminate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will obtain stockholder approval of any Plan amendment to the extent necessary and desirable to comply with Applicable Laws.</w:t>
      </w:r>
    </w:p>
    <w:p>
      <w:pPr>
        <w:pStyle w:val="TextBody"/>
        <w:bidi w:val="0"/>
        <w:spacing w:before="0" w:after="0"/>
        <w:ind w:left="0" w:right="0" w:hanging="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Shares will not be issued pursuant to the vesting, exercise or payment of an Award unless the vesting, exercise or payment (as applicable) of such Award and the issuance and delivery of such Shares will comply with Applicable Laws and will be further subject to the approval of counsel for the Company with respect to such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As a condition to the vesting, exercise or payment of an Award, the Company may require the Participant (or recipient) to represent and warrant at the time of any such vesting, exercise or payment that the Shares are being purchased or issued only for investment and without any present intention to sell or distribute such Shares if, in the opinion of counsel for the Company, such a representation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Beneficiaries</w:t>
      </w:r>
      <w:r>
        <w:rPr>
          <w:rFonts w:ascii="Times New Roman;Times;Serif" w:hAnsi="Times New Roman;Times;Serif"/>
          <w:b w:val="false"/>
          <w:i w:val="false"/>
          <w:caps w:val="false"/>
          <w:smallCaps w:val="false"/>
          <w:sz w:val="20"/>
        </w:rPr>
        <w:t>. If permitted by the Administrator, a Participant may designate one or more beneficiaries with respect to an Award by timely filing the prescribed form with the Company. A beneficiary designation may be changed by filing the prescribed form with the Company at any time before the Participant’s death. Except as otherwise provided in an Award Agreement, if no beneficiary was designated or if no designated beneficiary survives the Participant, then after a Participant’s death any vested Award(s) shall be transferred or distributed to the Participant’s estate or to any person who has the right to acquire the Award by bequest or inheritance.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Plan and all Awards hereunder shall be construed in accordance with and governed by the laws of the State of Delaware, but without regard to its conflict of law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   o</w:t>
      </w:r>
    </w:p>
    <w:p>
      <w:pPr>
        <w:pStyle w:val="TextBody"/>
        <w:bidi w:val="0"/>
        <w:spacing w:before="0" w:after="0"/>
        <w:jc w:val="center"/>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530"/>
      </w:tblGrid>
      <w:tr>
        <w:trPr/>
        <w:tc>
          <w:tcPr>
            <w:tcW w:w="530" w:type="dxa"/>
            <w:tcBorders/>
            <w:vAlign w:val="center"/>
          </w:tcPr>
          <w:p>
            <w:pPr>
              <w:pStyle w:val="TableContents"/>
              <w:bidi w:val="0"/>
              <w:spacing w:before="0" w:after="283"/>
              <w:jc w:val="center"/>
              <w:rPr/>
            </w:pPr>
            <w:r>
              <w:rPr/>
              <w:t>B-21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APPENDIX C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SPECIAL RESERVE PLAN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subplan under, and subject to, the HCW Biologics, Inc. Amended and Restated 2021 Equity Incentive Plan (the “A&amp;R Plan”). Adopted by the Compensation Committee (the “Committee”) of the Board of Directors of HCW Biologics, Inc. (the “Company”) effective [*], 2026 (the “Effective Date”).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u w:val="single"/>
        </w:rPr>
        <w:t>Purpose</w:t>
      </w:r>
      <w:r>
        <w:rPr>
          <w:rFonts w:ascii="Times New Roman;Times;Serif" w:hAnsi="Times New Roman;Times;Serif"/>
          <w:b w:val="false"/>
          <w:i w:val="false"/>
          <w:caps w:val="false"/>
          <w:smallCaps w:val="false"/>
          <w:sz w:val="20"/>
        </w:rPr>
        <w:t xml:space="preserve">. This 2026 Special Reserve Plan (this “Subplan”) authorizes the Committee to grant stock options (“Awards”) to eligible participants from a special reserve of 2,500,000 shares of the Company’s Common Stock (the “Special Reserve”), in increments that become available for grant only as the Company achieves the sustained stock-price milestones below. The milestones and grant conditions in this Subplan apply only to Awards granted under this Subplan; other awards to employees, consultants, and other participants under the A&amp;R Plan remain subject to the ordinary discretion of the Committee, including time-based or performance-based vesting set in individual award agreements. Capitalized terms used herein without further definition are used herein as defined in the A&amp;R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u w:val="single"/>
        </w:rPr>
        <w:t>Special Reserve; Increments; Milestones</w:t>
      </w:r>
      <w:r>
        <w:rPr>
          <w:rFonts w:ascii="Times New Roman;Times;Serif" w:hAnsi="Times New Roman;Times;Serif"/>
          <w:b w:val="false"/>
          <w:i w:val="false"/>
          <w:caps w:val="false"/>
          <w:smallCaps w:val="false"/>
          <w:sz w:val="20"/>
        </w:rPr>
        <w:t xml:space="preserve">. The Special Reserve is divided into five increments, each of up to 500,000 shares (20% of the Special Reserve) and each tied to achievement of a Sustained Stock Price milestone, as follows (each, a “Milestone”): </w:t>
      </w:r>
    </w:p>
    <w:p>
      <w:pPr>
        <w:pStyle w:val="TextBody"/>
        <w:bidi w:val="0"/>
        <w:spacing w:before="0" w:after="0"/>
        <w:ind w:left="0" w:right="0" w:firstLine="720"/>
        <w:jc w:val="both"/>
        <w:rPr>
          <w:caps w:val="false"/>
          <w:smallCaps w:val="false"/>
        </w:rPr>
      </w:pPr>
      <w:r>
        <w:rPr>
          <w:caps w:val="false"/>
          <w:smallCaps w:val="false"/>
        </w:rPr>
        <w:t xml:space="preserve">  </w:t>
      </w:r>
    </w:p>
    <w:tbl>
      <w:tblPr>
        <w:tblW w:w="10112" w:type="dxa"/>
        <w:jc w:val="left"/>
        <w:tblInd w:w="0" w:type="dxa"/>
        <w:tblLayout w:type="fixed"/>
        <w:tblCellMar>
          <w:top w:w="0" w:type="dxa"/>
          <w:left w:w="0" w:type="dxa"/>
          <w:bottom w:w="28" w:type="dxa"/>
          <w:right w:w="0" w:type="dxa"/>
        </w:tblCellMar>
      </w:tblPr>
      <w:tblGrid>
        <w:gridCol w:w="1040"/>
        <w:gridCol w:w="120"/>
        <w:gridCol w:w="290"/>
        <w:gridCol w:w="2084"/>
        <w:gridCol w:w="120"/>
        <w:gridCol w:w="120"/>
        <w:gridCol w:w="651"/>
        <w:gridCol w:w="2473"/>
        <w:gridCol w:w="120"/>
        <w:gridCol w:w="120"/>
        <w:gridCol w:w="293"/>
        <w:gridCol w:w="2546"/>
        <w:gridCol w:w="135"/>
      </w:tblGrid>
      <w:tr>
        <w:trPr/>
        <w:tc>
          <w:tcPr>
            <w:tcW w:w="1040" w:type="dxa"/>
            <w:tcBorders>
              <w:bottom w:val="single" w:sz="8" w:space="0" w:color="000000"/>
            </w:tcBorders>
            <w:vAlign w:val="center"/>
          </w:tcPr>
          <w:p>
            <w:pPr>
              <w:pStyle w:val="TableContents"/>
              <w:bidi w:val="0"/>
              <w:spacing w:before="0" w:after="283"/>
              <w:jc w:val="center"/>
              <w:rPr/>
            </w:pPr>
            <w:r>
              <w:rPr/>
              <w:t xml:space="preserve">Increment </w:t>
            </w:r>
          </w:p>
        </w:tc>
        <w:tc>
          <w:tcPr>
            <w:tcW w:w="120" w:type="dxa"/>
            <w:tcBorders/>
            <w:tcMar>
              <w:bottom w:w="0" w:type="dxa"/>
            </w:tcMar>
            <w:vAlign w:val="center"/>
          </w:tcPr>
          <w:p>
            <w:pPr>
              <w:pStyle w:val="TableContents"/>
              <w:bidi w:val="0"/>
              <w:spacing w:before="0" w:after="283"/>
              <w:jc w:val="left"/>
              <w:rPr/>
            </w:pPr>
            <w:r>
              <w:rPr/>
              <w:t xml:space="preserve">  </w:t>
            </w:r>
          </w:p>
        </w:tc>
        <w:tc>
          <w:tcPr>
            <w:tcW w:w="2374" w:type="dxa"/>
            <w:gridSpan w:val="2"/>
            <w:tcBorders>
              <w:bottom w:val="single" w:sz="8" w:space="0" w:color="000000"/>
            </w:tcBorders>
            <w:vAlign w:val="center"/>
          </w:tcPr>
          <w:p>
            <w:pPr>
              <w:pStyle w:val="TableContents"/>
              <w:bidi w:val="0"/>
              <w:spacing w:before="0" w:after="283"/>
              <w:jc w:val="center"/>
              <w:rPr/>
            </w:pPr>
            <w:r>
              <w:rPr/>
              <w:t xml:space="preserve">Available Shares (up to) </w:t>
            </w:r>
          </w:p>
        </w:tc>
        <w:tc>
          <w:tcPr>
            <w:tcW w:w="12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3124" w:type="dxa"/>
            <w:gridSpan w:val="2"/>
            <w:tcBorders>
              <w:bottom w:val="single" w:sz="8" w:space="0" w:color="000000"/>
            </w:tcBorders>
            <w:vAlign w:val="center"/>
          </w:tcPr>
          <w:p>
            <w:pPr>
              <w:pStyle w:val="TableContents"/>
              <w:bidi w:val="0"/>
              <w:spacing w:before="0" w:after="283"/>
              <w:jc w:val="center"/>
              <w:rPr/>
            </w:pPr>
            <w:r>
              <w:rPr/>
              <w:t xml:space="preserve">Sustained Stock Price Milestone </w:t>
            </w:r>
          </w:p>
        </w:tc>
        <w:tc>
          <w:tcPr>
            <w:tcW w:w="12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839" w:type="dxa"/>
            <w:gridSpan w:val="2"/>
            <w:tcBorders>
              <w:bottom w:val="single" w:sz="8" w:space="0" w:color="000000"/>
            </w:tcBorders>
            <w:vAlign w:val="center"/>
          </w:tcPr>
          <w:p>
            <w:pPr>
              <w:pStyle w:val="TableContents"/>
              <w:bidi w:val="0"/>
              <w:spacing w:before="0" w:after="283"/>
              <w:jc w:val="center"/>
              <w:rPr/>
            </w:pPr>
            <w:r>
              <w:rPr/>
              <w:t xml:space="preserve">Cumulative Shares Available </w:t>
            </w:r>
          </w:p>
        </w:tc>
        <w:tc>
          <w:tcPr>
            <w:tcW w:w="135" w:type="dxa"/>
            <w:tcBorders/>
            <w:tcMar>
              <w:bottom w:w="0" w:type="dxa"/>
            </w:tcMar>
            <w:vAlign w:val="center"/>
          </w:tcPr>
          <w:p>
            <w:pPr>
              <w:pStyle w:val="TableContents"/>
              <w:bidi w:val="0"/>
              <w:spacing w:before="0" w:after="283"/>
              <w:jc w:val="left"/>
              <w:rPr/>
            </w:pPr>
            <w:r>
              <w:rPr/>
              <w:t xml:space="preserve">  </w:t>
            </w:r>
          </w:p>
        </w:tc>
      </w:tr>
      <w:tr>
        <w:trPr/>
        <w:tc>
          <w:tcPr>
            <w:tcW w:w="1040" w:type="dxa"/>
            <w:tcBorders/>
            <w:shd w:fill="CCEEFF" w:val="clear"/>
            <w:tcMar>
              <w:bottom w:w="0" w:type="dxa"/>
            </w:tcMar>
            <w:vAlign w:val="center"/>
          </w:tcPr>
          <w:p>
            <w:pPr>
              <w:pStyle w:val="TableContents"/>
              <w:bidi w:val="0"/>
              <w:spacing w:before="0" w:after="283"/>
              <w:jc w:val="left"/>
              <w:rPr/>
            </w:pPr>
            <w:r>
              <w:rPr/>
              <w:t xml:space="preserve">1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90" w:type="dxa"/>
            <w:tcBorders/>
            <w:shd w:fill="CCEEFF" w:val="clear"/>
            <w:tcMar>
              <w:bottom w:w="0" w:type="dxa"/>
            </w:tcMar>
            <w:vAlign w:val="center"/>
          </w:tcPr>
          <w:p>
            <w:pPr>
              <w:pStyle w:val="TableContents"/>
              <w:bidi w:val="0"/>
              <w:spacing w:before="0" w:after="283"/>
              <w:jc w:val="left"/>
              <w:rPr/>
            </w:pPr>
            <w:r>
              <w:rPr/>
              <w:t xml:space="preserve">  </w:t>
            </w:r>
          </w:p>
        </w:tc>
        <w:tc>
          <w:tcPr>
            <w:tcW w:w="2084" w:type="dxa"/>
            <w:tcBorders/>
            <w:shd w:fill="CCEEFF" w:val="clear"/>
            <w:tcMar>
              <w:bottom w:w="0" w:type="dxa"/>
            </w:tcMar>
            <w:vAlign w:val="center"/>
          </w:tcPr>
          <w:p>
            <w:pPr>
              <w:pStyle w:val="TableContents"/>
              <w:bidi w:val="0"/>
              <w:spacing w:before="0" w:after="283"/>
              <w:jc w:val="right"/>
              <w:rPr/>
            </w:pPr>
            <w:r>
              <w:rPr/>
              <w:t xml:space="preserve">500,000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651" w:type="dxa"/>
            <w:tcBorders/>
            <w:shd w:fill="CCEEFF" w:val="clear"/>
            <w:tcMar>
              <w:bottom w:w="0" w:type="dxa"/>
            </w:tcMar>
            <w:vAlign w:val="center"/>
          </w:tcPr>
          <w:p>
            <w:pPr>
              <w:pStyle w:val="TableContents"/>
              <w:bidi w:val="0"/>
              <w:spacing w:before="0" w:after="283"/>
              <w:jc w:val="left"/>
              <w:rPr/>
            </w:pPr>
            <w:r>
              <w:rPr/>
              <w:t xml:space="preserve">$ </w:t>
            </w:r>
          </w:p>
        </w:tc>
        <w:tc>
          <w:tcPr>
            <w:tcW w:w="2473" w:type="dxa"/>
            <w:tcBorders/>
            <w:shd w:fill="CCEEFF" w:val="clear"/>
            <w:tcMar>
              <w:bottom w:w="0" w:type="dxa"/>
            </w:tcMar>
            <w:vAlign w:val="center"/>
          </w:tcPr>
          <w:p>
            <w:pPr>
              <w:pStyle w:val="TableContents"/>
              <w:bidi w:val="0"/>
              <w:spacing w:before="0" w:after="283"/>
              <w:jc w:val="right"/>
              <w:rPr/>
            </w:pPr>
            <w:r>
              <w:rPr/>
              <w:t xml:space="preserve">5.00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93" w:type="dxa"/>
            <w:tcBorders/>
            <w:shd w:fill="CCEEFF" w:val="clear"/>
            <w:tcMar>
              <w:bottom w:w="0" w:type="dxa"/>
            </w:tcMar>
            <w:vAlign w:val="center"/>
          </w:tcPr>
          <w:p>
            <w:pPr>
              <w:pStyle w:val="TableContents"/>
              <w:bidi w:val="0"/>
              <w:spacing w:before="0" w:after="283"/>
              <w:jc w:val="left"/>
              <w:rPr/>
            </w:pPr>
            <w:r>
              <w:rPr/>
              <w:t xml:space="preserve">  </w:t>
            </w:r>
          </w:p>
        </w:tc>
        <w:tc>
          <w:tcPr>
            <w:tcW w:w="2546" w:type="dxa"/>
            <w:tcBorders/>
            <w:shd w:fill="CCEEFF" w:val="clear"/>
            <w:tcMar>
              <w:bottom w:w="0" w:type="dxa"/>
            </w:tcMar>
            <w:vAlign w:val="center"/>
          </w:tcPr>
          <w:p>
            <w:pPr>
              <w:pStyle w:val="TableContents"/>
              <w:bidi w:val="0"/>
              <w:spacing w:before="0" w:after="283"/>
              <w:jc w:val="right"/>
              <w:rPr/>
            </w:pPr>
            <w:r>
              <w:rPr/>
              <w:t xml:space="preserve">500,000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1040" w:type="dxa"/>
            <w:tcBorders/>
            <w:shd w:fill="FFFFFF" w:val="clear"/>
            <w:tcMar>
              <w:bottom w:w="0" w:type="dxa"/>
            </w:tcMar>
            <w:vAlign w:val="center"/>
          </w:tcPr>
          <w:p>
            <w:pPr>
              <w:pStyle w:val="TableContents"/>
              <w:bidi w:val="0"/>
              <w:spacing w:before="0" w:after="283"/>
              <w:jc w:val="left"/>
              <w:rPr/>
            </w:pPr>
            <w:r>
              <w:rPr/>
              <w:t xml:space="preserve">2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90" w:type="dxa"/>
            <w:tcBorders/>
            <w:shd w:fill="FFFFFF" w:val="clear"/>
            <w:tcMar>
              <w:bottom w:w="0" w:type="dxa"/>
            </w:tcMar>
            <w:vAlign w:val="center"/>
          </w:tcPr>
          <w:p>
            <w:pPr>
              <w:pStyle w:val="TableContents"/>
              <w:bidi w:val="0"/>
              <w:spacing w:before="0" w:after="283"/>
              <w:jc w:val="left"/>
              <w:rPr/>
            </w:pPr>
            <w:r>
              <w:rPr/>
              <w:t xml:space="preserve">  </w:t>
            </w:r>
          </w:p>
        </w:tc>
        <w:tc>
          <w:tcPr>
            <w:tcW w:w="2084" w:type="dxa"/>
            <w:tcBorders/>
            <w:shd w:fill="FFFFFF" w:val="clear"/>
            <w:tcMar>
              <w:bottom w:w="0" w:type="dxa"/>
            </w:tcMar>
            <w:vAlign w:val="center"/>
          </w:tcPr>
          <w:p>
            <w:pPr>
              <w:pStyle w:val="TableContents"/>
              <w:bidi w:val="0"/>
              <w:spacing w:before="0" w:after="283"/>
              <w:jc w:val="right"/>
              <w:rPr/>
            </w:pPr>
            <w:r>
              <w:rPr/>
              <w:t xml:space="preserve">500,000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651" w:type="dxa"/>
            <w:tcBorders/>
            <w:shd w:fill="FFFFFF" w:val="clear"/>
            <w:tcMar>
              <w:bottom w:w="0" w:type="dxa"/>
            </w:tcMar>
            <w:vAlign w:val="center"/>
          </w:tcPr>
          <w:p>
            <w:pPr>
              <w:pStyle w:val="TableContents"/>
              <w:bidi w:val="0"/>
              <w:spacing w:before="0" w:after="283"/>
              <w:jc w:val="left"/>
              <w:rPr/>
            </w:pPr>
            <w:r>
              <w:rPr/>
              <w:t xml:space="preserve">$ </w:t>
            </w:r>
          </w:p>
        </w:tc>
        <w:tc>
          <w:tcPr>
            <w:tcW w:w="2473" w:type="dxa"/>
            <w:tcBorders/>
            <w:shd w:fill="FFFFFF" w:val="clear"/>
            <w:tcMar>
              <w:bottom w:w="0" w:type="dxa"/>
            </w:tcMar>
            <w:vAlign w:val="center"/>
          </w:tcPr>
          <w:p>
            <w:pPr>
              <w:pStyle w:val="TableContents"/>
              <w:bidi w:val="0"/>
              <w:spacing w:before="0" w:after="283"/>
              <w:jc w:val="right"/>
              <w:rPr/>
            </w:pPr>
            <w:r>
              <w:rPr/>
              <w:t xml:space="preserve">10.00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93" w:type="dxa"/>
            <w:tcBorders/>
            <w:shd w:fill="FFFFFF" w:val="clear"/>
            <w:tcMar>
              <w:bottom w:w="0" w:type="dxa"/>
            </w:tcMar>
            <w:vAlign w:val="center"/>
          </w:tcPr>
          <w:p>
            <w:pPr>
              <w:pStyle w:val="TableContents"/>
              <w:bidi w:val="0"/>
              <w:spacing w:before="0" w:after="283"/>
              <w:jc w:val="left"/>
              <w:rPr/>
            </w:pPr>
            <w:r>
              <w:rPr/>
              <w:t xml:space="preserve">  </w:t>
            </w:r>
          </w:p>
        </w:tc>
        <w:tc>
          <w:tcPr>
            <w:tcW w:w="2546" w:type="dxa"/>
            <w:tcBorders/>
            <w:shd w:fill="FFFFFF" w:val="clear"/>
            <w:tcMar>
              <w:bottom w:w="0" w:type="dxa"/>
            </w:tcMar>
            <w:vAlign w:val="center"/>
          </w:tcPr>
          <w:p>
            <w:pPr>
              <w:pStyle w:val="TableContents"/>
              <w:bidi w:val="0"/>
              <w:spacing w:before="0" w:after="283"/>
              <w:jc w:val="right"/>
              <w:rPr/>
            </w:pPr>
            <w:r>
              <w:rPr/>
              <w:t xml:space="preserve">1,000,000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1040" w:type="dxa"/>
            <w:tcBorders/>
            <w:shd w:fill="CCEEFF" w:val="clear"/>
            <w:tcMar>
              <w:bottom w:w="0" w:type="dxa"/>
            </w:tcMar>
            <w:vAlign w:val="center"/>
          </w:tcPr>
          <w:p>
            <w:pPr>
              <w:pStyle w:val="TableContents"/>
              <w:bidi w:val="0"/>
              <w:spacing w:before="0" w:after="283"/>
              <w:jc w:val="left"/>
              <w:rPr/>
            </w:pPr>
            <w:r>
              <w:rPr/>
              <w:t xml:space="preserve">3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90" w:type="dxa"/>
            <w:tcBorders/>
            <w:shd w:fill="CCEEFF" w:val="clear"/>
            <w:tcMar>
              <w:bottom w:w="0" w:type="dxa"/>
            </w:tcMar>
            <w:vAlign w:val="center"/>
          </w:tcPr>
          <w:p>
            <w:pPr>
              <w:pStyle w:val="TableContents"/>
              <w:bidi w:val="0"/>
              <w:spacing w:before="0" w:after="283"/>
              <w:jc w:val="left"/>
              <w:rPr/>
            </w:pPr>
            <w:r>
              <w:rPr/>
              <w:t xml:space="preserve">  </w:t>
            </w:r>
          </w:p>
        </w:tc>
        <w:tc>
          <w:tcPr>
            <w:tcW w:w="2084" w:type="dxa"/>
            <w:tcBorders/>
            <w:shd w:fill="CCEEFF" w:val="clear"/>
            <w:tcMar>
              <w:bottom w:w="0" w:type="dxa"/>
            </w:tcMar>
            <w:vAlign w:val="center"/>
          </w:tcPr>
          <w:p>
            <w:pPr>
              <w:pStyle w:val="TableContents"/>
              <w:bidi w:val="0"/>
              <w:spacing w:before="0" w:after="283"/>
              <w:jc w:val="right"/>
              <w:rPr/>
            </w:pPr>
            <w:r>
              <w:rPr/>
              <w:t xml:space="preserve">500,000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651" w:type="dxa"/>
            <w:tcBorders/>
            <w:shd w:fill="CCEEFF" w:val="clear"/>
            <w:tcMar>
              <w:bottom w:w="0" w:type="dxa"/>
            </w:tcMar>
            <w:vAlign w:val="center"/>
          </w:tcPr>
          <w:p>
            <w:pPr>
              <w:pStyle w:val="TableContents"/>
              <w:bidi w:val="0"/>
              <w:spacing w:before="0" w:after="283"/>
              <w:jc w:val="left"/>
              <w:rPr/>
            </w:pPr>
            <w:r>
              <w:rPr/>
              <w:t xml:space="preserve">$ </w:t>
            </w:r>
          </w:p>
        </w:tc>
        <w:tc>
          <w:tcPr>
            <w:tcW w:w="2473" w:type="dxa"/>
            <w:tcBorders/>
            <w:shd w:fill="CCEEFF" w:val="clear"/>
            <w:tcMar>
              <w:bottom w:w="0" w:type="dxa"/>
            </w:tcMar>
            <w:vAlign w:val="center"/>
          </w:tcPr>
          <w:p>
            <w:pPr>
              <w:pStyle w:val="TableContents"/>
              <w:bidi w:val="0"/>
              <w:spacing w:before="0" w:after="283"/>
              <w:jc w:val="right"/>
              <w:rPr/>
            </w:pPr>
            <w:r>
              <w:rPr/>
              <w:t xml:space="preserve">20.00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93" w:type="dxa"/>
            <w:tcBorders/>
            <w:shd w:fill="CCEEFF" w:val="clear"/>
            <w:tcMar>
              <w:bottom w:w="0" w:type="dxa"/>
            </w:tcMar>
            <w:vAlign w:val="center"/>
          </w:tcPr>
          <w:p>
            <w:pPr>
              <w:pStyle w:val="TableContents"/>
              <w:bidi w:val="0"/>
              <w:spacing w:before="0" w:after="283"/>
              <w:jc w:val="left"/>
              <w:rPr/>
            </w:pPr>
            <w:r>
              <w:rPr/>
              <w:t xml:space="preserve">  </w:t>
            </w:r>
          </w:p>
        </w:tc>
        <w:tc>
          <w:tcPr>
            <w:tcW w:w="2546" w:type="dxa"/>
            <w:tcBorders/>
            <w:shd w:fill="CCEEFF" w:val="clear"/>
            <w:tcMar>
              <w:bottom w:w="0" w:type="dxa"/>
            </w:tcMar>
            <w:vAlign w:val="center"/>
          </w:tcPr>
          <w:p>
            <w:pPr>
              <w:pStyle w:val="TableContents"/>
              <w:bidi w:val="0"/>
              <w:spacing w:before="0" w:after="283"/>
              <w:jc w:val="right"/>
              <w:rPr/>
            </w:pPr>
            <w:r>
              <w:rPr/>
              <w:t xml:space="preserve">1,500,000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1040" w:type="dxa"/>
            <w:tcBorders/>
            <w:shd w:fill="FFFFFF" w:val="clear"/>
            <w:tcMar>
              <w:bottom w:w="0" w:type="dxa"/>
            </w:tcMar>
            <w:vAlign w:val="center"/>
          </w:tcPr>
          <w:p>
            <w:pPr>
              <w:pStyle w:val="TableContents"/>
              <w:bidi w:val="0"/>
              <w:spacing w:before="0" w:after="283"/>
              <w:jc w:val="left"/>
              <w:rPr/>
            </w:pPr>
            <w:r>
              <w:rPr/>
              <w:t xml:space="preserve">4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90" w:type="dxa"/>
            <w:tcBorders/>
            <w:shd w:fill="FFFFFF" w:val="clear"/>
            <w:tcMar>
              <w:bottom w:w="0" w:type="dxa"/>
            </w:tcMar>
            <w:vAlign w:val="center"/>
          </w:tcPr>
          <w:p>
            <w:pPr>
              <w:pStyle w:val="TableContents"/>
              <w:bidi w:val="0"/>
              <w:spacing w:before="0" w:after="283"/>
              <w:jc w:val="left"/>
              <w:rPr/>
            </w:pPr>
            <w:r>
              <w:rPr/>
              <w:t xml:space="preserve">  </w:t>
            </w:r>
          </w:p>
        </w:tc>
        <w:tc>
          <w:tcPr>
            <w:tcW w:w="2084" w:type="dxa"/>
            <w:tcBorders/>
            <w:shd w:fill="FFFFFF" w:val="clear"/>
            <w:tcMar>
              <w:bottom w:w="0" w:type="dxa"/>
            </w:tcMar>
            <w:vAlign w:val="center"/>
          </w:tcPr>
          <w:p>
            <w:pPr>
              <w:pStyle w:val="TableContents"/>
              <w:bidi w:val="0"/>
              <w:spacing w:before="0" w:after="283"/>
              <w:jc w:val="right"/>
              <w:rPr/>
            </w:pPr>
            <w:r>
              <w:rPr/>
              <w:t xml:space="preserve">500,000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651" w:type="dxa"/>
            <w:tcBorders/>
            <w:shd w:fill="FFFFFF" w:val="clear"/>
            <w:tcMar>
              <w:bottom w:w="0" w:type="dxa"/>
            </w:tcMar>
            <w:vAlign w:val="center"/>
          </w:tcPr>
          <w:p>
            <w:pPr>
              <w:pStyle w:val="TableContents"/>
              <w:bidi w:val="0"/>
              <w:spacing w:before="0" w:after="283"/>
              <w:jc w:val="left"/>
              <w:rPr/>
            </w:pPr>
            <w:r>
              <w:rPr/>
              <w:t xml:space="preserve">$ </w:t>
            </w:r>
          </w:p>
        </w:tc>
        <w:tc>
          <w:tcPr>
            <w:tcW w:w="2473" w:type="dxa"/>
            <w:tcBorders/>
            <w:shd w:fill="FFFFFF" w:val="clear"/>
            <w:tcMar>
              <w:bottom w:w="0" w:type="dxa"/>
            </w:tcMar>
            <w:vAlign w:val="center"/>
          </w:tcPr>
          <w:p>
            <w:pPr>
              <w:pStyle w:val="TableContents"/>
              <w:bidi w:val="0"/>
              <w:spacing w:before="0" w:after="283"/>
              <w:jc w:val="right"/>
              <w:rPr/>
            </w:pPr>
            <w:r>
              <w:rPr/>
              <w:t xml:space="preserve">40.00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293" w:type="dxa"/>
            <w:tcBorders/>
            <w:shd w:fill="FFFFFF" w:val="clear"/>
            <w:tcMar>
              <w:bottom w:w="0" w:type="dxa"/>
            </w:tcMar>
            <w:vAlign w:val="center"/>
          </w:tcPr>
          <w:p>
            <w:pPr>
              <w:pStyle w:val="TableContents"/>
              <w:bidi w:val="0"/>
              <w:spacing w:before="0" w:after="283"/>
              <w:jc w:val="left"/>
              <w:rPr/>
            </w:pPr>
            <w:r>
              <w:rPr/>
              <w:t xml:space="preserve">  </w:t>
            </w:r>
          </w:p>
        </w:tc>
        <w:tc>
          <w:tcPr>
            <w:tcW w:w="2546" w:type="dxa"/>
            <w:tcBorders/>
            <w:shd w:fill="FFFFFF" w:val="clear"/>
            <w:tcMar>
              <w:bottom w:w="0" w:type="dxa"/>
            </w:tcMar>
            <w:vAlign w:val="center"/>
          </w:tcPr>
          <w:p>
            <w:pPr>
              <w:pStyle w:val="TableContents"/>
              <w:bidi w:val="0"/>
              <w:spacing w:before="0" w:after="283"/>
              <w:jc w:val="right"/>
              <w:rPr/>
            </w:pPr>
            <w:r>
              <w:rPr/>
              <w:t xml:space="preserve">2,000,000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1040" w:type="dxa"/>
            <w:tcBorders/>
            <w:shd w:fill="CCEEFF" w:val="clear"/>
            <w:tcMar>
              <w:bottom w:w="0" w:type="dxa"/>
            </w:tcMar>
            <w:vAlign w:val="center"/>
          </w:tcPr>
          <w:p>
            <w:pPr>
              <w:pStyle w:val="TableContents"/>
              <w:bidi w:val="0"/>
              <w:spacing w:before="0" w:after="283"/>
              <w:jc w:val="left"/>
              <w:rPr/>
            </w:pPr>
            <w:r>
              <w:rPr/>
              <w:t xml:space="preserve">5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90" w:type="dxa"/>
            <w:tcBorders/>
            <w:shd w:fill="CCEEFF" w:val="clear"/>
            <w:tcMar>
              <w:bottom w:w="0" w:type="dxa"/>
            </w:tcMar>
            <w:vAlign w:val="center"/>
          </w:tcPr>
          <w:p>
            <w:pPr>
              <w:pStyle w:val="TableContents"/>
              <w:bidi w:val="0"/>
              <w:spacing w:before="0" w:after="283"/>
              <w:jc w:val="left"/>
              <w:rPr/>
            </w:pPr>
            <w:r>
              <w:rPr/>
              <w:t xml:space="preserve">  </w:t>
            </w:r>
          </w:p>
        </w:tc>
        <w:tc>
          <w:tcPr>
            <w:tcW w:w="2084" w:type="dxa"/>
            <w:tcBorders/>
            <w:shd w:fill="CCEEFF" w:val="clear"/>
            <w:tcMar>
              <w:bottom w:w="0" w:type="dxa"/>
            </w:tcMar>
            <w:vAlign w:val="center"/>
          </w:tcPr>
          <w:p>
            <w:pPr>
              <w:pStyle w:val="TableContents"/>
              <w:bidi w:val="0"/>
              <w:spacing w:before="0" w:after="283"/>
              <w:jc w:val="right"/>
              <w:rPr/>
            </w:pPr>
            <w:r>
              <w:rPr/>
              <w:t xml:space="preserve">500,000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651" w:type="dxa"/>
            <w:tcBorders/>
            <w:shd w:fill="CCEEFF" w:val="clear"/>
            <w:tcMar>
              <w:bottom w:w="0" w:type="dxa"/>
            </w:tcMar>
            <w:vAlign w:val="center"/>
          </w:tcPr>
          <w:p>
            <w:pPr>
              <w:pStyle w:val="TableContents"/>
              <w:bidi w:val="0"/>
              <w:spacing w:before="0" w:after="283"/>
              <w:jc w:val="left"/>
              <w:rPr/>
            </w:pPr>
            <w:r>
              <w:rPr/>
              <w:t xml:space="preserve">$ </w:t>
            </w:r>
          </w:p>
        </w:tc>
        <w:tc>
          <w:tcPr>
            <w:tcW w:w="2473" w:type="dxa"/>
            <w:tcBorders/>
            <w:shd w:fill="CCEEFF" w:val="clear"/>
            <w:tcMar>
              <w:bottom w:w="0" w:type="dxa"/>
            </w:tcMar>
            <w:vAlign w:val="center"/>
          </w:tcPr>
          <w:p>
            <w:pPr>
              <w:pStyle w:val="TableContents"/>
              <w:bidi w:val="0"/>
              <w:spacing w:before="0" w:after="283"/>
              <w:jc w:val="right"/>
              <w:rPr/>
            </w:pPr>
            <w:r>
              <w:rPr/>
              <w:t xml:space="preserve">80.00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293" w:type="dxa"/>
            <w:tcBorders/>
            <w:shd w:fill="CCEEFF" w:val="clear"/>
            <w:tcMar>
              <w:bottom w:w="0" w:type="dxa"/>
            </w:tcMar>
            <w:vAlign w:val="center"/>
          </w:tcPr>
          <w:p>
            <w:pPr>
              <w:pStyle w:val="TableContents"/>
              <w:bidi w:val="0"/>
              <w:spacing w:before="0" w:after="283"/>
              <w:jc w:val="left"/>
              <w:rPr/>
            </w:pPr>
            <w:r>
              <w:rPr/>
              <w:t xml:space="preserve">  </w:t>
            </w:r>
          </w:p>
        </w:tc>
        <w:tc>
          <w:tcPr>
            <w:tcW w:w="2546" w:type="dxa"/>
            <w:tcBorders/>
            <w:shd w:fill="CCEEFF" w:val="clear"/>
            <w:tcMar>
              <w:bottom w:w="0" w:type="dxa"/>
            </w:tcMar>
            <w:vAlign w:val="center"/>
          </w:tcPr>
          <w:p>
            <w:pPr>
              <w:pStyle w:val="TableContents"/>
              <w:bidi w:val="0"/>
              <w:spacing w:before="0" w:after="283"/>
              <w:jc w:val="right"/>
              <w:rPr/>
            </w:pPr>
            <w:r>
              <w:rPr/>
              <w:t xml:space="preserve">2,500,000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issuable under this Subplan are drawn from and count against the A&amp;R Plan share 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val="false"/>
          <w:i w:val="false"/>
          <w:caps w:val="false"/>
          <w:smallCaps w:val="false"/>
          <w:sz w:val="20"/>
          <w:u w:val="single"/>
        </w:rPr>
        <w:t>Milestone measurement</w:t>
      </w:r>
      <w:r>
        <w:rPr>
          <w:rFonts w:ascii="Times New Roman;Times;Serif" w:hAnsi="Times New Roman;Times;Serif"/>
          <w:b w:val="false"/>
          <w:i w:val="false"/>
          <w:caps w:val="false"/>
          <w:smallCaps w:val="false"/>
          <w:sz w:val="20"/>
        </w:rPr>
        <w:t xml:space="preserve">. A milestone is achieved when the closing sale price per share of the Company’s Common Stock on the Nasdaq Capital Market equals or exceeds the applicable milestone for twenty (20) consecutive trading days (a “Sustained Stock Price”). The Committee will certify achievement of a Sustained Stock Price Milestone and the date achieved. Once certified, a Milestone is deemed achieved for the remainder of the Performance Period regardless of any later price decline. The increments are independent;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if two Milestones are achieved simultaneously, both of the corresponding increments of reserved shares become available upon certification of that achievement. </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val="false"/>
          <w:i w:val="false"/>
          <w:caps w:val="false"/>
          <w:smallCaps w:val="false"/>
          <w:sz w:val="20"/>
          <w:u w:val="single"/>
        </w:rPr>
        <w:t>Grant authority conditioned on Milestones</w:t>
      </w:r>
      <w:r>
        <w:rPr>
          <w:rFonts w:ascii="Times New Roman;Times;Serif" w:hAnsi="Times New Roman;Times;Serif"/>
          <w:b w:val="false"/>
          <w:i w:val="false"/>
          <w:caps w:val="false"/>
          <w:smallCaps w:val="false"/>
          <w:sz w:val="20"/>
        </w:rPr>
        <w:t xml:space="preserve">. The Committee’s authority to grant Awards from an increment arises only upon and after certification of the corresponding Milestone achievement. Before a Milestone is certified, no Award may be granted from its increment. Upon certification, the Committee is authorized—but not required—to grant Awards covering up to the number of available shares in that increment, to eligible participants it selects, at times within the Performance Period. Achievement of a Milestone authorizes, but does not obligate, any grant.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val="false"/>
          <w:i w:val="false"/>
          <w:caps w:val="false"/>
          <w:smallCaps w:val="false"/>
          <w:sz w:val="20"/>
          <w:u w:val="single"/>
        </w:rPr>
        <w:t>Award terms</w:t>
      </w:r>
      <w:r>
        <w:rPr>
          <w:rFonts w:ascii="Times New Roman;Times;Serif" w:hAnsi="Times New Roman;Times;Serif"/>
          <w:b w:val="false"/>
          <w:i w:val="false"/>
          <w:caps w:val="false"/>
          <w:smallCaps w:val="false"/>
          <w:sz w:val="20"/>
        </w:rPr>
        <w:t xml:space="preserve">. Each Award shall be a stock option granted pursuant to, and in all respects governed by, the A&amp;R Plan, and: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exercise price of the stock option shall be no less than the closing price per share of the Company’s Common Stock on the Nasdaq Capital Market on the trading day immediately prior to the Grant Date (and no less than fair market value as required by the A&amp;R Plan);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Vesting of the stock option shall occur no earlier than the first anniversary of the Grant Date, over a period of between one and two years following the Grant Date, subject to continued service and any additional conditions the Committee sets in the award agreement (subject to any acceleration the A&amp;R Plan permits on death, disability, or a change in control); </w:t>
      </w:r>
    </w:p>
    <w:p>
      <w:pPr>
        <w:pStyle w:val="TextBody"/>
        <w:bidi w:val="0"/>
        <w:spacing w:before="0" w:after="0"/>
        <w:ind w:left="720" w:right="0" w:firstLine="720"/>
        <w:jc w:val="both"/>
        <w:rPr>
          <w:caps w:val="false"/>
          <w:smallCaps w:val="false"/>
        </w:rPr>
      </w:pPr>
      <w:r>
        <w:rPr>
          <w:caps w:val="false"/>
          <w:smallCaps w:val="false"/>
        </w:rPr>
        <w:t xml:space="preserve">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Award shall be evidenced by an award agreement in the form approved by the Committee and shall expire no later than ten (10) years after its Grant Date. </w:t>
      </w:r>
    </w:p>
    <w:p>
      <w:pPr>
        <w:pStyle w:val="TextBody"/>
        <w:bidi w:val="0"/>
        <w:spacing w:before="0" w:after="0"/>
        <w:ind w:left="0" w:right="0" w:firstLine="69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xml:space="preserve">. Only individuals eligible under the A&amp;R Plan whom the Committee designates may receive Awards under this Subplan. Designation for one Award confers no right to any future Award.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val="false"/>
          <w:i w:val="false"/>
          <w:caps w:val="false"/>
          <w:smallCaps w:val="false"/>
          <w:sz w:val="20"/>
          <w:u w:val="single"/>
        </w:rPr>
        <w:t>Unachieved milestones; forfeitures; adjustments</w:t>
      </w:r>
      <w:r>
        <w:rPr>
          <w:rFonts w:ascii="Times New Roman;Times;Serif" w:hAnsi="Times New Roman;Times;Serif"/>
          <w:b w:val="false"/>
          <w:i w:val="false"/>
          <w:caps w:val="false"/>
          <w:smallCaps w:val="false"/>
          <w:sz w:val="20"/>
        </w:rPr>
        <w:t xml:space="preserve">. If a Milestone is not achieved by the end of the Performance Period (the period from the Effective Date through the fifth anniversary of the Effective Date), its increment is cancelled and those shares return to the A&amp;R Plan reserve/are cancelled. Shares under forfeited, cancelled, or expired Awards are treated consistent with the A&amp;R Plan’s share-counting rules. On any stock split, recapitalization, or similar event, the Committee will equitably adjust the Special Reserve, the shares subject to outstanding Awards and their exercise prices, and each milestone. Treatment on a change in control or extraordinary transaction is governed by the A&amp;R Plan and the award agreement.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val="false"/>
          <w:i w:val="false"/>
          <w:caps w:val="false"/>
          <w:smallCaps w:val="false"/>
          <w:sz w:val="20"/>
          <w:u w:val="single"/>
        </w:rPr>
        <w:t>Administration; general</w:t>
      </w:r>
      <w:r>
        <w:rPr>
          <w:rFonts w:ascii="Times New Roman;Times;Serif" w:hAnsi="Times New Roman;Times;Serif"/>
          <w:b w:val="false"/>
          <w:i w:val="false"/>
          <w:caps w:val="false"/>
          <w:smallCaps w:val="false"/>
          <w:sz w:val="20"/>
        </w:rPr>
        <w:t xml:space="preserve">. The Committee administers this Subplan with the powers granted under the A&amp;R Plan, including authority to interpret it and certify milestone achievement; its determinations are final and binding. This Subplan and all Awards are subject to applicable law and exchange rules, including any shareholder-approval requirements and Section 409A of the Internal Revenue Code. The Committee may amend, suspend, or terminate this Subplan, subject to the A&amp;R Plan and applicable approval requirements, without materially impairing outstanding Awards absent the holder’s consent. Except as modified here, all terms of the A&amp;R Plan apply.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Adopted by the Compensation Committee of the Board of Directors of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HCW Biologics, Inc. as of [*],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2329" w:type="dxa"/>
        <w:jc w:val="left"/>
        <w:tblInd w:w="0" w:type="dxa"/>
        <w:tblLayout w:type="fixed"/>
        <w:tblCellMar>
          <w:top w:w="0" w:type="dxa"/>
          <w:left w:w="0" w:type="dxa"/>
          <w:bottom w:w="0" w:type="dxa"/>
          <w:right w:w="0" w:type="dxa"/>
        </w:tblCellMar>
      </w:tblPr>
      <w:tblGrid>
        <w:gridCol w:w="969"/>
        <w:gridCol w:w="1225"/>
        <w:gridCol w:w="135"/>
      </w:tblGrid>
      <w:tr>
        <w:trPr/>
        <w:tc>
          <w:tcPr>
            <w:tcW w:w="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2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Scott T. Garrett, Chairman</w:t>
            </w:r>
            <w:r>
              <w:rPr>
                <w:rFonts w:ascii="Times New Roman;Times;Serif" w:hAnsi="Times New Roman;Times;Serif"/>
                <w:b w:val="false"/>
                <w:i w:val="false"/>
                <w:caps w:val="false"/>
                <w:smallCaps w:val="false"/>
                <w:sz w:val="20"/>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96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2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Lisa M. Giles</w:t>
            </w:r>
            <w:r>
              <w:rPr>
                <w:rFonts w:ascii="Times New Roman;Times;Serif" w:hAnsi="Times New Roman;Times;Serif"/>
                <w:b w:val="false"/>
                <w:i w:val="false"/>
                <w:caps w:val="false"/>
                <w:smallCaps w:val="false"/>
                <w:sz w:val="20"/>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969"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22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2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21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Rick S. Greene</w:t>
            </w:r>
            <w:r>
              <w:rPr>
                <w:rFonts w:ascii="Times New Roman;Times;Serif" w:hAnsi="Times New Roman;Times;Serif"/>
                <w:b w:val="false"/>
                <w:i w:val="false"/>
                <w:caps w:val="false"/>
                <w:smallCaps w:val="false"/>
                <w:sz w:val="20"/>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33861</Words>
  <Characters>175517</Characters>
  <CharactersWithSpaces>210339</CharactersWithSpaces>
  <Paragraphs>2111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