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28, 2026</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333-298452</w:t>
      </w:r>
    </w:p>
    <w:p>
      <w:pPr>
        <w:pStyle w:val="TextBody"/>
        <w:bidi w:val="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1</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720"/>
        <w:gridCol w:w="60"/>
        <w:gridCol w:w="2465"/>
        <w:gridCol w:w="60"/>
        <w:gridCol w:w="197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82-5024477</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 C. Wong, Ph.D.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555"/>
        <w:gridCol w:w="60"/>
        <w:gridCol w:w="2660"/>
      </w:tblGrid>
      <w:tr>
        <w:trPr/>
        <w:tc>
          <w:tcPr>
            <w:tcW w:w="255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Groth</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 E. Randolph St., Ste. 3900</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985-5900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Yevgeniya (Jeny) Zarmon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Carnegie Center, Suite 102</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785-2918</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 as determined by market conditions.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is filing this Amendment No. 1 to its Registration Statement on Form S-1 (File No. 333-298452) as an exhibits-only filing. Accordingly, this Amendment consists only of the facing page, this explanatory note, Item 16(a) of Part II of the Registration Statement, the signature page to the Registration Statement and the filed exhibits. The remainder of the Registration Statement is unchanged and has therefore been omitted.</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
        <w:gridCol w:w="60"/>
        <w:gridCol w:w="4927"/>
        <w:gridCol w:w="60"/>
        <w:gridCol w:w="500"/>
        <w:gridCol w:w="60"/>
        <w:gridCol w:w="830"/>
        <w:gridCol w:w="60"/>
        <w:gridCol w:w="809"/>
        <w:gridCol w:w="60"/>
        <w:gridCol w:w="747"/>
        <w:gridCol w:w="60"/>
        <w:gridCol w:w="1208"/>
      </w:tblGrid>
      <w:tr>
        <w:trPr/>
        <w:tc>
          <w:tcPr>
            <w:tcW w:w="82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tc>
      </w:tr>
      <w:tr>
        <w:trPr/>
        <w:tc>
          <w:tcPr>
            <w:tcW w:w="8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 herewith</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Bylaws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Specimen Stock Certificate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New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Common Stock Warrant, dated May 7,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Clark Hill PLC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Inducement Agreement between the Company and Armistice Capital Management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First Amendment to 2019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2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27"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8"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
        <w:gridCol w:w="60"/>
        <w:gridCol w:w="5513"/>
        <w:gridCol w:w="60"/>
        <w:gridCol w:w="510"/>
        <w:gridCol w:w="60"/>
        <w:gridCol w:w="775"/>
        <w:gridCol w:w="60"/>
        <w:gridCol w:w="760"/>
        <w:gridCol w:w="60"/>
        <w:gridCol w:w="680"/>
        <w:gridCol w:w="60"/>
        <w:gridCol w:w="832"/>
      </w:tblGrid>
      <w:tr>
        <w:trPr/>
        <w:tc>
          <w:tcPr>
            <w:tcW w:w="7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1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05" w:type="dxa"/>
            <w:gridSpan w:val="7"/>
            <w:tcBorders/>
            <w:vAlign w:val="center"/>
          </w:tcPr>
          <w:p>
            <w:pPr>
              <w:pStyle w:val="TableContents"/>
              <w:pBdr>
                <w:bottom w:val="single" w:sz="8"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1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Employment Agreement, dated August 28,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Master Services Agreement, dated March 14, 2019, between HCW Biologics Inc. and EirGenix,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S-1/A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
        <w:gridCol w:w="60"/>
        <w:gridCol w:w="5579"/>
        <w:gridCol w:w="60"/>
        <w:gridCol w:w="500"/>
        <w:gridCol w:w="60"/>
        <w:gridCol w:w="761"/>
        <w:gridCol w:w="60"/>
        <w:gridCol w:w="747"/>
        <w:gridCol w:w="60"/>
        <w:gridCol w:w="663"/>
        <w:gridCol w:w="60"/>
        <w:gridCol w:w="833"/>
      </w:tblGrid>
      <w:tr>
        <w:trPr/>
        <w:tc>
          <w:tcPr>
            <w:tcW w:w="7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51" w:type="dxa"/>
            <w:gridSpan w:val="7"/>
            <w:tcBorders/>
            <w:vAlign w:val="center"/>
          </w:tcPr>
          <w:p>
            <w:pPr>
              <w:pStyle w:val="TableContents"/>
              <w:pBdr>
                <w:bottom w:val="single" w:sz="8"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restart"/>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continue"/>
            <w:tcBorders/>
            <w:vAlign w:val="center"/>
          </w:tcPr>
          <w:p>
            <w:pPr>
              <w:pStyle w:val="Normal"/>
              <w:bidi w:val="0"/>
              <w:jc w:val="left"/>
              <w:rPr/>
            </w:pPr>
            <w:r>
              <w:rPr/>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Placement Agency Agreement, dated February 17, 2026, between the Company and Maxim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Registration Rights Agreement by and between the Company and the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Placement Agency Agreement, by and between the Company and E.F. Hutton &amp; Co.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Clark Hill PLC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Previously filed.</w:t>
      </w:r>
    </w:p>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in the city of Miramar, State of Florida, on August 28, 2026.</w:t>
      </w:r>
    </w:p>
    <w:p>
      <w:pPr>
        <w:pStyle w:val="TextBody"/>
        <w:bidi w:val="0"/>
        <w:jc w:val="center"/>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590"/>
        <w:gridCol w:w="2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&amp; Chief Executive Officer</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thereunto duly authorized.</w:t>
      </w:r>
    </w:p>
    <w:p>
      <w:pPr>
        <w:pStyle w:val="TextBody"/>
        <w:bidi w:val="0"/>
        <w:jc w:val="center"/>
        <w:rPr>
          <w:caps w:val="false"/>
          <w:smallCaps w:val="false"/>
        </w:rPr>
      </w:pPr>
      <w:r>
        <w:rPr>
          <w:caps w:val="false"/>
          <w:smallCaps w:val="false"/>
        </w:rPr>
        <w:t> </w:t>
      </w:r>
    </w:p>
    <w:tbl>
      <w:tblPr>
        <w:tblW w:w="5625" w:type="dxa"/>
        <w:jc w:val="left"/>
        <w:tblInd w:w="0" w:type="dxa"/>
        <w:tblLayout w:type="fixed"/>
        <w:tblCellMar>
          <w:top w:w="0" w:type="dxa"/>
          <w:left w:w="0" w:type="dxa"/>
          <w:bottom w:w="28" w:type="dxa"/>
          <w:right w:w="0" w:type="dxa"/>
        </w:tblCellMar>
      </w:tblPr>
      <w:tblGrid>
        <w:gridCol w:w="1265"/>
        <w:gridCol w:w="60"/>
        <w:gridCol w:w="2855"/>
        <w:gridCol w:w="60"/>
        <w:gridCol w:w="1385"/>
      </w:tblGrid>
      <w:tr>
        <w:trPr/>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tcMar>
              <w:bottom w:w="0" w:type="dxa"/>
            </w:tcMar>
            <w:vAlign w:val="center"/>
          </w:tcPr>
          <w:p>
            <w:pPr>
              <w:pStyle w:val="TableContents"/>
              <w:pBdr>
                <w:bottom w:val="single" w:sz="6" w:space="1" w:color="000000"/>
              </w:pBd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tcMar>
              <w:bottom w:w="0" w:type="dxa"/>
            </w:tcMar>
            <w:vAlign w:val="center"/>
          </w:tcPr>
          <w:p>
            <w:pPr>
              <w:pStyle w:val="TableContents"/>
              <w:pBdr>
                <w:bottom w:val="single" w:sz="6" w:space="1" w:color="000000"/>
              </w:pBd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tcMar>
              <w:bottom w:w="0" w:type="dxa"/>
            </w:tcMar>
            <w:vAlign w:val="center"/>
          </w:tcPr>
          <w:p>
            <w:pPr>
              <w:pStyle w:val="TableContents"/>
              <w:pBdr>
                <w:bottom w:val="single" w:sz="6" w:space="1" w:color="000000"/>
              </w:pBd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tcMar>
              <w:bottom w:w="0" w:type="dxa"/>
            </w:tcMar>
            <w:vAlign w:val="center"/>
          </w:tcPr>
          <w:p>
            <w:pPr>
              <w:pStyle w:val="TableContents"/>
              <w:pBdr>
                <w:bottom w:val="single" w:sz="6" w:space="1" w:color="000000"/>
              </w:pBd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S. Greene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65" w:type="dxa"/>
            <w:tcBorders/>
            <w:tcMar>
              <w:bottom w:w="0" w:type="dxa"/>
            </w:tcMar>
            <w:vAlign w:val="center"/>
          </w:tcPr>
          <w:p>
            <w:pPr>
              <w:pStyle w:val="TableContents"/>
              <w:pBdr>
                <w:bottom w:val="single" w:sz="6" w:space="1" w:color="000000"/>
              </w:pBd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bl>
    <w:p>
      <w:pPr>
        <w:pStyle w:val="TextBody"/>
        <w:bidi w:val="0"/>
        <w:jc w:val="center"/>
        <w:rPr>
          <w:caps w:val="false"/>
          <w:smallCaps w:val="false"/>
        </w:rPr>
      </w:pPr>
      <w:r>
        <w:rPr>
          <w:caps w:val="false"/>
          <w:smallCaps w:val="false"/>
        </w:rPr>
        <w:t> </w:t>
      </w:r>
    </w:p>
    <w:tbl>
      <w:tblPr>
        <w:tblW w:w="3085" w:type="dxa"/>
        <w:jc w:val="left"/>
        <w:tblInd w:w="0" w:type="dxa"/>
        <w:shd w:fill="FFFFFF" w:val="clear"/>
        <w:tblLayout w:type="fixed"/>
        <w:tblCellMar>
          <w:top w:w="0" w:type="dxa"/>
          <w:left w:w="0" w:type="dxa"/>
          <w:bottom w:w="0" w:type="dxa"/>
          <w:right w:w="0" w:type="dxa"/>
        </w:tblCellMar>
      </w:tblPr>
      <w:tblGrid>
        <w:gridCol w:w="380"/>
        <w:gridCol w:w="2630"/>
        <w:gridCol w:w="75"/>
      </w:tblGrid>
      <w:tr>
        <w:trPr/>
        <w:tc>
          <w:tcPr>
            <w:tcW w:w="3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3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Attorney-in-Fact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ex5-1.htm"/>
      <w:bookmarkStart w:id="3" w:name="ksex5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714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4"/>
                    <a:stretch>
                      <a:fillRect/>
                    </a:stretch>
                  </pic:blipFill>
                  <pic:spPr bwMode="auto">
                    <a:xfrm>
                      <a:off x="0" y="0"/>
                      <a:ext cx="1714500" cy="381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75"/>
        <w:gridCol w:w="3395"/>
      </w:tblGrid>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jc w:val="left"/>
              <w:rPr>
                <w:rFonts w:ascii="Times New Roman;Times;Serif" w:hAnsi="Times New Roman;Times;Serif"/>
              </w:rPr>
            </w:pPr>
            <w:r>
              <w:rPr>
                <w:rFonts w:ascii="Times New Roman;Times;Serif" w:hAnsi="Times New Roman;Times;Serif"/>
              </w:rPr>
              <w:t>Clark Hill</w:t>
            </w:r>
          </w:p>
          <w:p>
            <w:pPr>
              <w:pStyle w:val="TableContents"/>
              <w:bidi w:val="0"/>
              <w:jc w:val="left"/>
              <w:rPr>
                <w:rFonts w:ascii="Times New Roman;Times;Serif" w:hAnsi="Times New Roman;Times;Serif"/>
              </w:rPr>
            </w:pPr>
            <w:r>
              <w:rPr>
                <w:rFonts w:ascii="Times New Roman;Times;Serif" w:hAnsi="Times New Roman;Times;Serif"/>
              </w:rPr>
              <w:t>130 E. Randolph Street, Suite 3900</w:t>
            </w:r>
          </w:p>
          <w:p>
            <w:pPr>
              <w:pStyle w:val="TableContents"/>
              <w:bidi w:val="0"/>
              <w:jc w:val="left"/>
              <w:rPr>
                <w:rFonts w:ascii="Times New Roman;Times;Serif" w:hAnsi="Times New Roman;Times;Serif"/>
              </w:rPr>
            </w:pPr>
            <w:r>
              <w:rPr>
                <w:rFonts w:ascii="Times New Roman;Times;Serif" w:hAnsi="Times New Roman;Times;Serif"/>
              </w:rPr>
              <w:t>Chicago, Illinois 60601</w:t>
            </w:r>
          </w:p>
          <w:p>
            <w:pPr>
              <w:pStyle w:val="TableContents"/>
              <w:bidi w:val="0"/>
              <w:jc w:val="left"/>
              <w:rPr>
                <w:rFonts w:ascii="Times New Roman;Times;Serif" w:hAnsi="Times New Roman;Times;Serif"/>
              </w:rPr>
            </w:pPr>
            <w:r>
              <w:rPr>
                <w:rFonts w:ascii="Times New Roman;Times;Serif" w:hAnsi="Times New Roman;Times;Serif"/>
              </w:rPr>
              <w:t>T (312) 985-5900</w:t>
            </w:r>
          </w:p>
          <w:p>
            <w:pPr>
              <w:pStyle w:val="TableContents"/>
              <w:bidi w:val="0"/>
              <w:spacing w:before="0" w:after="283"/>
              <w:jc w:val="left"/>
              <w:rPr>
                <w:rFonts w:ascii="Times New Roman;Times;Serif" w:hAnsi="Times New Roman;Times;Serif"/>
              </w:rPr>
            </w:pPr>
            <w:r>
              <w:rPr>
                <w:rFonts w:ascii="Times New Roman;Times;Serif" w:hAnsi="Times New Roman;Times;Serif"/>
              </w:rPr>
              <w:t>F (312) 985-5999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305"/>
        <w:gridCol w:w="666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t>
            </w:r>
          </w:p>
        </w:tc>
        <w:tc>
          <w:tcPr>
            <w:tcW w:w="666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HCW Biologics Inc.</w:t>
            </w:r>
          </w:p>
        </w:tc>
      </w:tr>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6665"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Resale Registration Statement Under Form S-1 (File No. 333-298452)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HCW Biologics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S-1 (as it may be amended or supplemented,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resale by the selling stockholders identified in the Registration Statement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of shares of the Company’s common stock, $0.0001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resale of: (i) 218,682 shares of Common Stock issued on July 29, 2026 pursuant to that certain Securities Purchase Agreement, dated July 29, 2026, by and among the Company and certain accredited investors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(the “Shares”); (ii) up to 400,000 shares of Common Stock issuable upon the exercise of pre-funded warrants issued on July 29, 2026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and (iii) up to 618,682 shares of Common Stock issuable upon the exercise of common stock purchase warrants to be issued following stockholder approval pursuant to Nasdaq Listing Rule 5635(d) (the “</w:t>
      </w:r>
      <w:r>
        <w:rPr>
          <w:rFonts w:ascii="Times New Roman;Times;Serif" w:hAnsi="Times New Roman;Times;Serif"/>
          <w:b/>
          <w:i w:val="false"/>
          <w:caps w:val="false"/>
          <w:smallCaps w:val="false"/>
          <w:sz w:val="20"/>
        </w:rPr>
        <w:t>July 2026 Common Warrants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Common Warrant Shares</w:t>
      </w:r>
      <w:r>
        <w:rPr>
          <w:rFonts w:ascii="Times New Roman;Times;Serif" w:hAnsi="Times New Roman;Times;Serif"/>
          <w:b w:val="false"/>
          <w:i w:val="false"/>
          <w:caps w:val="false"/>
          <w:smallCaps w:val="false"/>
          <w:sz w:val="20"/>
        </w:rPr>
        <w:t>” and, together with the Pre-Funded Warrant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(ii) the prospectus included therein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(iii) the Company’s certificate of incorporation and bylaws, each as amended and in effect on the date hereof; (iv) certain resolutions of the Company’s board of directors authorizing the entry into the Purchase Agreement, the issuance of the Shares, the Pre-Funded Warrants, the July 2026 Common Warrants and the shares issuable upon exercise thereof, and the filing of the Registration Statement; and (v) the originals or copies, certified or otherwise, identified to our satisfaction, of such records of the Company, certificates of public officials regarding the Company, officers of the Company, and such matters of law and regulation and such other documents as we have deemed relevant and necessary for the basis of our opinions hereinafter expressed.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clarkhill.com</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640" w:type="dxa"/>
        <w:jc w:val="left"/>
        <w:tblInd w:w="0" w:type="dxa"/>
        <w:tblLayout w:type="fixed"/>
        <w:tblCellMar>
          <w:top w:w="0" w:type="dxa"/>
          <w:left w:w="0" w:type="dxa"/>
          <w:bottom w:w="0" w:type="dxa"/>
          <w:right w:w="0" w:type="dxa"/>
        </w:tblCellMar>
      </w:tblPr>
      <w:tblGrid>
        <w:gridCol w:w="1640"/>
      </w:tblGrid>
      <w:tr>
        <w:trPr/>
        <w:tc>
          <w:tcPr>
            <w:tcW w:w="1640" w:type="dxa"/>
            <w:tcBorders/>
            <w:vAlign w:val="center"/>
          </w:tcPr>
          <w:p>
            <w:pPr>
              <w:pStyle w:val="TableContents"/>
              <w:bidi w:val="0"/>
              <w:spacing w:before="0" w:after="283"/>
              <w:jc w:val="left"/>
              <w:rPr/>
            </w:pPr>
            <w:r>
              <w:rPr/>
              <w:t>August 28, 2026</w:t>
            </w:r>
          </w:p>
        </w:tc>
      </w:tr>
      <w:tr>
        <w:trPr/>
        <w:tc>
          <w:tcPr>
            <w:tcW w:w="1640" w:type="dxa"/>
            <w:tcBorders/>
            <w:vAlign w:val="center"/>
          </w:tcPr>
          <w:p>
            <w:pPr>
              <w:pStyle w:val="TableContents"/>
              <w:bidi w:val="0"/>
              <w:spacing w:before="0" w:after="283"/>
              <w:jc w:val="left"/>
              <w:rPr/>
            </w:pPr>
            <w:r>
              <w:rPr/>
              <w:t>Page 2</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following: (i) the authenticity of documents submitted to us as originals and the conformity to authentic original documents, agreements and instruments of all documents, agreements and instruments submitted to us as facsimiles or PDFs, or as certified, conformed or reproduced copies, and the genuineness of all signatures; (ii) the legal capacity and competency of all signatories and the genuineness and validity of all signatures on all documents, (iii) the conformity to the originals of all documents submitted to us as copies and the authenticity of the originals of such copies; (iv) all documents filed as exhibits to the Registration Statement that have not been executed will conform to the forms thereof; and (v) the truth, accuracy and completeness of the information, factual matters, representations, warranties and covenants contained in the records, agreements (including the Transaction Agreements), documents, instruments and certificates we have reviewed.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that at the time of issuance and to the extent any such issuance would exceed the maximum share capital of the Company currently authorized, the number of shares of Common Stock that the Company is authorized to issue shall have been increased in accordance with the bylaws such that a sufficient number of shares of Common Stock are authorized and available for issuance under the bylaws. We have further assumed that, prior to the issuance of any July 2026 Common Warrants, the requisite stockholder approval required pursuant to Nasdaq Listing Rule 5635(d) will have been obtained and the July 2026 Common Warrants will have been duly authorized, executed, issued and delivered in accordance with the terms of the Purchase Agreement and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been duly authorized and are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 Shares have been duly authorized and, when issued upon proper exercise of the Pre-Funded Warrants in accordance with their terms (including payment of the applicable exercise price),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 Shares have been duly authorized and, when issued upon proper exercise of the July 2026 Common Warrants following the issuance thereof after receipt of the requisite stockholder approval pursuant to Nasdaq Listing Rule 5635(d) in accordance with their terms (including payment of the applicable exercise price), will be validly issued, fully paid and nonassessable.</w:t>
            </w:r>
          </w:p>
        </w:tc>
      </w:tr>
    </w:tbl>
    <w:p>
      <w:pPr>
        <w:pStyle w:val="TextBody"/>
        <w:bidi w:val="0"/>
        <w:spacing w:before="0" w:after="283"/>
        <w:jc w:val="left"/>
        <w:rPr/>
      </w:pPr>
      <w:r>
        <w:rPr/>
        <w:t> </w:t>
      </w:r>
    </w:p>
    <w:p>
      <w:pPr>
        <w:pStyle w:val="TextBody"/>
        <w:bidi w:val="0"/>
        <w:jc w:val="right"/>
        <w:rPr>
          <w:b/>
        </w:rPr>
      </w:pPr>
      <w:r>
        <w:rPr>
          <w:b/>
        </w:rPr>
        <w:t>clarkhill.com</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640" w:type="dxa"/>
        <w:jc w:val="left"/>
        <w:tblInd w:w="0" w:type="dxa"/>
        <w:tblLayout w:type="fixed"/>
        <w:tblCellMar>
          <w:top w:w="0" w:type="dxa"/>
          <w:left w:w="0" w:type="dxa"/>
          <w:bottom w:w="0" w:type="dxa"/>
          <w:right w:w="0" w:type="dxa"/>
        </w:tblCellMar>
      </w:tblPr>
      <w:tblGrid>
        <w:gridCol w:w="1640"/>
      </w:tblGrid>
      <w:tr>
        <w:trPr/>
        <w:tc>
          <w:tcPr>
            <w:tcW w:w="1640" w:type="dxa"/>
            <w:tcBorders/>
            <w:vAlign w:val="center"/>
          </w:tcPr>
          <w:p>
            <w:pPr>
              <w:pStyle w:val="TableContents"/>
              <w:bidi w:val="0"/>
              <w:spacing w:before="0" w:after="283"/>
              <w:jc w:val="left"/>
              <w:rPr/>
            </w:pPr>
            <w:r>
              <w:rPr/>
              <w:t>August 28, 2026</w:t>
            </w:r>
          </w:p>
        </w:tc>
      </w:tr>
      <w:tr>
        <w:trPr/>
        <w:tc>
          <w:tcPr>
            <w:tcW w:w="1640" w:type="dxa"/>
            <w:tcBorders/>
            <w:vAlign w:val="center"/>
          </w:tcPr>
          <w:p>
            <w:pPr>
              <w:pStyle w:val="TableContents"/>
              <w:bidi w:val="0"/>
              <w:spacing w:before="0" w:after="283"/>
              <w:jc w:val="left"/>
              <w:rPr/>
            </w:pPr>
            <w:r>
              <w:rPr/>
              <w:t>Page 3</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our firm under the heading “Legal Matters” in the Registration Statement. In giving such consent, we do not thereby admit that we are within the category of persons whose consent is required under Section 7 of the Securities Act or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the federal laws of the United States of America. We express no opinion as to the laws of any other jurisdiction. This opinion is rendered as of the date hereof, and we undertake no obligation to update or supplement this opinion to reflect any facts or circumstances that may arise after the date hereof or any changes in applicable law.</w:t>
      </w:r>
    </w:p>
    <w:p>
      <w:pPr>
        <w:pStyle w:val="TextBody"/>
        <w:bidi w:val="0"/>
        <w:spacing w:before="0" w:after="0"/>
        <w:ind w:left="0" w:right="0" w:firstLine="720"/>
        <w:jc w:val="both"/>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75"/>
        <w:gridCol w:w="1580"/>
      </w:tblGrid>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Clark Hill PLC</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CLARK HILL PLC</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JG:jz</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clarkhill.com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673/000119312521224302/d179831dex31.htm" TargetMode="External"/><Relationship Id="rId3" Type="http://schemas.openxmlformats.org/officeDocument/2006/relationships/hyperlink" Target="https://www.sec.gov/Archives/edgar/data/1828673/000095017025048619/hcwb-ex3_1a.htm" TargetMode="External"/><Relationship Id="rId4" Type="http://schemas.openxmlformats.org/officeDocument/2006/relationships/hyperlink" Target="https://www.sec.gov/Archives/edgar/data/1828673/000095017025048619/hcwb-ex3_1b.htm" TargetMode="External"/><Relationship Id="rId5" Type="http://schemas.openxmlformats.org/officeDocument/2006/relationships/hyperlink" Target="https://www.sec.gov/Archives/edgar/data/1828673/000119312521224302/d179831dex32.htm" TargetMode="External"/><Relationship Id="rId6" Type="http://schemas.openxmlformats.org/officeDocument/2006/relationships/hyperlink" Target="https://www.sec.gov/Archives/edgar/data/1828673/000119312521191316/d39345dex41.htm" TargetMode="External"/><Relationship Id="rId7" Type="http://schemas.openxmlformats.org/officeDocument/2006/relationships/hyperlink" Target="https://www.sec.gov/Archives/edgar/data/1828673/000095017022004847/hcwb-ex4_2.htm" TargetMode="External"/><Relationship Id="rId8" Type="http://schemas.openxmlformats.org/officeDocument/2006/relationships/hyperlink" Target="https://www.sec.gov/Archives/edgar/data/1828673/000119312525289873/hcwb-ex4_1.htm" TargetMode="External"/><Relationship Id="rId9" Type="http://schemas.openxmlformats.org/officeDocument/2006/relationships/hyperlink" Target="https://www.sec.gov/Archives/edgar/data/1828673/000119312526059578/hcwb-ex4_1.htm" TargetMode="External"/><Relationship Id="rId10" Type="http://schemas.openxmlformats.org/officeDocument/2006/relationships/hyperlink" Target="https://www.sec.gov/Archives/edgar/data/1828673/000119312526059578/hcwb-ex4_2.htm" TargetMode="External"/><Relationship Id="rId11" Type="http://schemas.openxmlformats.org/officeDocument/2006/relationships/hyperlink" Target="https://www.sec.gov/Archives/edgar/data/1828673/000095017025109642/hcwb-ex10_13.htm" TargetMode="External"/><Relationship Id="rId12" Type="http://schemas.openxmlformats.org/officeDocument/2006/relationships/hyperlink" Target="https://www.sec.gov/Archives/edgar/data/1828673/000149315226024850/ex4-1.htm" TargetMode="External"/><Relationship Id="rId13" Type="http://schemas.openxmlformats.org/officeDocument/2006/relationships/hyperlink" Target="https://www.sec.gov/Archives/edgar/data/1828673/000149315226024850/ex4-2.htm" TargetMode="External"/><Relationship Id="rId14" Type="http://schemas.openxmlformats.org/officeDocument/2006/relationships/hyperlink" Target="https://www.sec.gov/Archives/edgar/data/1828673/000119312525289873/hcwb-ex10_1.htm" TargetMode="External"/><Relationship Id="rId15" Type="http://schemas.openxmlformats.org/officeDocument/2006/relationships/hyperlink" Target="https://www.sec.gov/Archives/edgar/data/1828673/000119312526059578/hcwb-ex10_2.htm" TargetMode="External"/><Relationship Id="rId16" Type="http://schemas.openxmlformats.org/officeDocument/2006/relationships/hyperlink" Target="https://www.sec.gov/Archives/edgar/data/1828673/000119312526059578/hcwb-ex10_3.htm" TargetMode="External"/><Relationship Id="rId17" Type="http://schemas.openxmlformats.org/officeDocument/2006/relationships/hyperlink" Target="https://www.sec.gov/Archives/edgar/data/1828673/000119312526046873/d55258dex1042.htm" TargetMode="External"/><Relationship Id="rId18" Type="http://schemas.openxmlformats.org/officeDocument/2006/relationships/hyperlink" Target="https://www.sec.gov/Archives/edgar/data/1828673/000119312521191316/d39345dex101.htm" TargetMode="External"/><Relationship Id="rId19" Type="http://schemas.openxmlformats.org/officeDocument/2006/relationships/hyperlink" Target="https://www.sec.gov/Archives/edgar/data/1828673/000119312521173753/d39345dex102.htm" TargetMode="External"/><Relationship Id="rId20" Type="http://schemas.openxmlformats.org/officeDocument/2006/relationships/hyperlink" Target="https://www.sec.gov/Archives/edgar/data/1828673/000119312521173753/d39345dex103.htm" TargetMode="External"/><Relationship Id="rId21" Type="http://schemas.openxmlformats.org/officeDocument/2006/relationships/hyperlink" Target="https://www.sec.gov/Archives/edgar/data/1828673/000119312521209000/d39345dex104.htm" TargetMode="External"/><Relationship Id="rId22" Type="http://schemas.openxmlformats.org/officeDocument/2006/relationships/hyperlink" Target="https://www.sec.gov/Archives/edgar/data/1828673/000119312521209000/d39345dex106.htm" TargetMode="External"/><Relationship Id="rId23" Type="http://schemas.openxmlformats.org/officeDocument/2006/relationships/hyperlink" Target="https://www.sec.gov/Archives/edgar/data/1828673/000119312521173753/d39345dex107.htm" TargetMode="External"/><Relationship Id="rId24" Type="http://schemas.openxmlformats.org/officeDocument/2006/relationships/hyperlink" Target="https://www.sec.gov/Archives/edgar/data/1828673/000119312521191316/d39345dex108.htm" TargetMode="External"/><Relationship Id="rId25" Type="http://schemas.openxmlformats.org/officeDocument/2006/relationships/hyperlink" Target="https://www.sec.gov/Archives/edgar/data/1828673/000119312521209000/d39345dex1013.htm" TargetMode="External"/><Relationship Id="rId26" Type="http://schemas.openxmlformats.org/officeDocument/2006/relationships/hyperlink" Target="https://www.sec.gov/Archives/edgar/data/1828673/000119312521191316/d39345dex1011.htm" TargetMode="External"/><Relationship Id="rId27" Type="http://schemas.openxmlformats.org/officeDocument/2006/relationships/hyperlink" Target="https://www.sec.gov/Archives/edgar/data/1828673/000119312521173753/d39345dex1010.htm" TargetMode="External"/><Relationship Id="rId28" Type="http://schemas.openxmlformats.org/officeDocument/2006/relationships/hyperlink" Target="https://www.sec.gov/Archives/edgar/data/1828673/000119312521209000/d39345dex1012.htm" TargetMode="External"/><Relationship Id="rId29" Type="http://schemas.openxmlformats.org/officeDocument/2006/relationships/hyperlink" Target="https://www.sec.gov/Archives/edgar/data/1828673/000095017022017015/hcwb-ex10_1.htm" TargetMode="External"/><Relationship Id="rId30" Type="http://schemas.openxmlformats.org/officeDocument/2006/relationships/hyperlink" Target="https://www.sec.gov/Archives/edgar/data/1828673/000095017022022697/hcwb-ex10_1.htm" TargetMode="External"/><Relationship Id="rId31" Type="http://schemas.openxmlformats.org/officeDocument/2006/relationships/hyperlink" Target="https://www.sec.gov/Archives/edgar/data/1828673/000095017022022697/hcwb-ex10_2.htm" TargetMode="External"/><Relationship Id="rId32" Type="http://schemas.openxmlformats.org/officeDocument/2006/relationships/hyperlink" Target="https://www.sec.gov/Archives/edgar/data/1828673/000095017024018451/hcwb-ex10_1.htm" TargetMode="External"/><Relationship Id="rId33" Type="http://schemas.openxmlformats.org/officeDocument/2006/relationships/hyperlink" Target="https://www.sec.gov/Archives/edgar/data/1828673/000095017024097121/hcwb-ex10_1.htm" TargetMode="External"/><Relationship Id="rId34" Type="http://schemas.openxmlformats.org/officeDocument/2006/relationships/hyperlink" Target="https://www.sec.gov/Archives/edgar/data/1828673/000095017024097121/hcwb-ex10_3.htm" TargetMode="External"/><Relationship Id="rId35" Type="http://schemas.openxmlformats.org/officeDocument/2006/relationships/hyperlink" Target="https://www.sec.gov/Archives/edgar/data/1828673/000095017024097121/hcwb-ex10_4.htm" TargetMode="External"/><Relationship Id="rId36" Type="http://schemas.openxmlformats.org/officeDocument/2006/relationships/hyperlink" Target="https://www.sec.gov/Archives/edgar/data/1828673/000095017024127198/hcwb-ex10_5.htm" TargetMode="External"/><Relationship Id="rId37" Type="http://schemas.openxmlformats.org/officeDocument/2006/relationships/hyperlink" Target="https://www.sec.gov/Archives/edgar/data/1828673/000095017024097121/hcwb-ex10_2.htm" TargetMode="External"/><Relationship Id="rId38" Type="http://schemas.openxmlformats.org/officeDocument/2006/relationships/hyperlink" Target="https://www.sec.gov/Archives/edgar/data/1828673/000095017025109642/hcwb-ex10_12.htm" TargetMode="External"/><Relationship Id="rId39" Type="http://schemas.openxmlformats.org/officeDocument/2006/relationships/hyperlink" Target="https://www.sec.gov/Archives/edgar/data/1828673/000095017025024989/hcwb-ex10_1.htm" TargetMode="External"/><Relationship Id="rId40" Type="http://schemas.openxmlformats.org/officeDocument/2006/relationships/hyperlink" Target="https://www.sec.gov/Archives/edgar/data/1828673/000095017025024989/hcwb-ex10_2.htm" TargetMode="External"/><Relationship Id="rId41" Type="http://schemas.openxmlformats.org/officeDocument/2006/relationships/hyperlink" Target="https://www.sec.gov/Archives/edgar/data/1828673/000095017025109139/hcwb-ex10_1.htm" TargetMode="External"/><Relationship Id="rId42" Type="http://schemas.openxmlformats.org/officeDocument/2006/relationships/hyperlink" Target="https://www.sec.gov/Archives/edgar/data/1828673/000119312526046873/d55258dex1040.htm" TargetMode="External"/><Relationship Id="rId43" Type="http://schemas.openxmlformats.org/officeDocument/2006/relationships/hyperlink" Target="https://www.sec.gov/Archives/edgar/data/1828673/000119312526046873/d55258dex1043.htm" TargetMode="External"/><Relationship Id="rId44" Type="http://schemas.openxmlformats.org/officeDocument/2006/relationships/hyperlink" Target="https://www.sec.gov/Archives/edgar/data/1828673/000119312526046873/d55258dex1044.htm" TargetMode="External"/><Relationship Id="rId45" Type="http://schemas.openxmlformats.org/officeDocument/2006/relationships/hyperlink" Target="https://www.sec.gov/Archives/edgar/data/1828673/000095017025109642/hcwb-ex10_17.htm" TargetMode="External"/><Relationship Id="rId46" Type="http://schemas.openxmlformats.org/officeDocument/2006/relationships/hyperlink" Target="https://www.sec.gov/Archives/edgar/data/1828673/000095017024127198/hcwb-ex10_6.htm" TargetMode="External"/><Relationship Id="rId47" Type="http://schemas.openxmlformats.org/officeDocument/2006/relationships/hyperlink" Target="https://www.sec.gov/Archives/edgar/data/1828673/000119312526059578/hcwb-ex10_1.htm" TargetMode="External"/><Relationship Id="rId48" Type="http://schemas.openxmlformats.org/officeDocument/2006/relationships/hyperlink" Target="https://www.sec.gov/Archives/edgar/data/1828673/000149315226024850/ex10-1.htm" TargetMode="External"/><Relationship Id="rId49" Type="http://schemas.openxmlformats.org/officeDocument/2006/relationships/hyperlink" Target="https://www.sec.gov/Archives/edgar/data/1828673/000149315226024850/ex10-2.htm" TargetMode="External"/><Relationship Id="rId50" Type="http://schemas.openxmlformats.org/officeDocument/2006/relationships/hyperlink" Target="https://www.sec.gov/Archives/edgar/data/1828673/000149315226024850/ex10-3.htm" TargetMode="External"/><Relationship Id="rId51" Type="http://schemas.openxmlformats.org/officeDocument/2006/relationships/hyperlink" Target="https://www.sec.gov/Archives/edgar/data/1828673/000149315226027656/ex10-38.htm" TargetMode="External"/><Relationship Id="rId52" Type="http://schemas.openxmlformats.org/officeDocument/2006/relationships/hyperlink" Target="https://www.sec.gov/Archives/edgar/data/1828673/000149315226039452/ex23-1.htm" TargetMode="External"/><Relationship Id="rId53" Type="http://schemas.openxmlformats.org/officeDocument/2006/relationships/hyperlink" Target="https://www.sec.gov/Archives/edgar/data/1828673/000149315226039452/ex107.htm" TargetMode="External"/><Relationship Id="rId54" Type="http://schemas.openxmlformats.org/officeDocument/2006/relationships/image" Target="media/image1.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3005</Words>
  <Characters>16669</Characters>
  <CharactersWithSpaces>19825</CharactersWithSpaces>
  <Paragraphs>1161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