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HCW Biologics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740" w:type="dxa"/>
        <w:tblCellMar>
          <w:top w:w="0" w:type="dxa"/>
          <w:left w:w="0" w:type="dxa"/>
          <w:bottom w:w="0" w:type="dxa"/>
          <w:right w:w="0" w:type="dxa"/>
        </w:tblCellMar>
      </w:tblPr>
      <w:tr>
        <w:trPr>
          <w:trHeight w:val="216"/>
        </w:trPr>
        <w:tc>
          <w:tcPr>
            <w:tcW w:w="4220" w:type="dxa"/>
            <w:vAlign w:val="bottom"/>
          </w:tcPr>
          <w:p>
            <w:pPr>
              <w:jc w:val="center"/>
              <w:ind w:right="19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48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9"/>
              </w:rPr>
              <w:t>001-40591</w:t>
            </w:r>
          </w:p>
        </w:tc>
        <w:tc>
          <w:tcPr>
            <w:tcW w:w="2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82-5024477</w:t>
            </w:r>
          </w:p>
        </w:tc>
      </w:tr>
      <w:tr>
        <w:trPr>
          <w:trHeight w:val="216"/>
        </w:trPr>
        <w:tc>
          <w:tcPr>
            <w:tcW w:w="4220" w:type="dxa"/>
            <w:vAlign w:val="bottom"/>
          </w:tcPr>
          <w:p>
            <w:pPr>
              <w:jc w:val="center"/>
              <w:ind w:right="199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48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220" w:type="dxa"/>
            <w:vAlign w:val="bottom"/>
          </w:tcPr>
          <w:p>
            <w:pPr>
              <w:jc w:val="center"/>
              <w:ind w:right="199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248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4220" w:type="dxa"/>
            <w:vAlign w:val="bottom"/>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rPr>
              <w:t>2929 N. Commerce Parkway</w:t>
            </w:r>
          </w:p>
        </w:tc>
        <w:tc>
          <w:tcPr>
            <w:tcW w:w="24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16"/>
        </w:trPr>
        <w:tc>
          <w:tcPr>
            <w:tcW w:w="4220" w:type="dxa"/>
            <w:vAlign w:val="bottom"/>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Miramar, Florida</w:t>
            </w:r>
          </w:p>
        </w:tc>
        <w:tc>
          <w:tcPr>
            <w:tcW w:w="2480" w:type="dxa"/>
            <w:vAlign w:val="bottom"/>
          </w:tcPr>
          <w:p>
            <w:pPr>
              <w:spacing w:after="0"/>
              <w:rPr>
                <w:sz w:val="18"/>
                <w:szCs w:val="18"/>
                <w:color w:val="auto"/>
              </w:rPr>
            </w:pPr>
          </w:p>
        </w:tc>
        <w:tc>
          <w:tcPr>
            <w:tcW w:w="27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33025</w:t>
            </w:r>
          </w:p>
        </w:tc>
      </w:tr>
      <w:tr>
        <w:trPr>
          <w:trHeight w:val="238"/>
        </w:trPr>
        <w:tc>
          <w:tcPr>
            <w:tcW w:w="6700" w:type="dxa"/>
            <w:vAlign w:val="bottom"/>
            <w:gridSpan w:val="2"/>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(954) 842-2024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4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HCWB</w:t>
            </w:r>
          </w:p>
        </w:tc>
        <w:tc>
          <w:tcPr>
            <w:tcW w:w="220" w:type="dxa"/>
            <w:vAlign w:val="bottom"/>
          </w:tcPr>
          <w:p>
            <w:pPr>
              <w:spacing w:after="0"/>
              <w:rPr>
                <w:sz w:val="19"/>
                <w:szCs w:val="19"/>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May 21, 2026, HCW Biologics Inc. (the “Company”) entered into a Securities Purchase Agreement (the “Purchase Agreement”) with certain accredited investors (the “Investors”), pursuant to which the Company agreed to issue and sell an aggregate of 2,846,975 units, with each unit consisting of</w:t>
      </w:r>
    </w:p>
    <w:p>
      <w:pPr>
        <w:jc w:val="both"/>
        <w:ind w:firstLine="8"/>
        <w:spacing w:after="0" w:line="251" w:lineRule="auto"/>
        <w:tabs>
          <w:tab w:leader="none" w:pos="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share of the Company’s common stock, par value $0.0001 per share (the “Common Stock” or “Shares”), at a purchase price of $1.28 per Share, or, in lieu thereof, one pre-funded warrant, and (ii) one warrant to purchase one share of Common Stock (the “Common Warrants”) at a purchase price of $0.125 per Common Warrant. The units were sold at a purchase price of $1.405 per unit, and the Shares or Pre-Funded Warrants and Common Warrants comprising the units are immediately separable and were issued separately. In lieu of Shares that would otherwise result in a purchaser’s beneficial ownership exceeding 9.99% of the number of shares of Common Stock outstanding immediately after giving effect to the issuance of such Shares, certain purchasers may elect to receive pre-funded warrants (the “Pre-Funded Warrants”) at a purchase price of $1.2799 per Pre-Funded Warrant (equal to the per Share purchase price less $0.0001). Each Pre-Funded Warrant is exercisable immediately upon issuance for one share of Common Stock at an exercise price of $0.0001 per share and will remain exercisable until exercised in full. Each Common Warrant is exercisable immediately upon issuance for one share of Common Stock at an exercise price of $1.28 per share and will expire on the five and one-half year anniversary of the original issuance date. The shares of Common Stock issuable upon exercise of the Pre-Funded Warrants and the Common Warrants are referred to herein as the “Warrant Shares.”</w:t>
      </w:r>
    </w:p>
    <w:p>
      <w:pPr>
        <w:spacing w:after="0" w:line="19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the Purchase Agreement, on May 21, 2026, the Company issued and sold an aggregate of 427,046 Shares, 2,419,929 Pre-Funded Warrants, and Common Warrants to purchase an aggregate of up to 2,846,975 shares of Common Stock for aggregate gross proceeds of approximately $4.0 million at the closing (the “Closing”), before deducting fees payable to the placement agent and other offering expenses payable by the Company. The Company intends to use the net proceeds from the Offering to continue clinical trials for HCW9302, advance its IND-enabling studies for its T-Cell Engager, HCW11-018b, and its second-generation immune checkpoint inhibitor, HCW11-040, and funding for general corporate purposes and to pay off certain debts and settlements.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Pre-Funded Warrants may not be exercised to the extent that, after giving effect to such exercise, the holder would beneficially own more than 9.99% of the number of shares of Common Stock outstanding immediately after giving effect to such exercise. The Common Warrants may not be exercised to the extent that, after giving effect to such exercise, the holder would beneficially own more than 4.99% of the number of shares of Common Stock outstanding immediately after giving effect to such exercise.</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Purchase Agreement, the Company also entered into a Registration Rights Agreement with the Investors (the “Registration Rights Agreement”), pursuant to which the Company agreed to provide certain registration rights with respect to the resale of the Shares and the Warrant Shares, and agreed to file an initial registration statement within 15 days following the Closing to register the resale of such securities and to use reasonable best efforts to cause such registration statement to be declared effective by the Securities and Exchange Commission within 60 days following the Closing. In addition, in connection with the Offering, the Company entered into a Placement Agent Agreement, dated May 21, 2026 (the “Placement Agent Agreement”), with E.F. Hutton &amp; Co. LLC (the “Placement Agent”), pursuant to which the Placement Agent agreed to act as the Company’s exclusive placement agent in connection with the Offering, subject to the terms and conditions set forth therein.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Purchase Agreement, the Registration Rights Agreement, the Placement Agent Agreement, the Pre-Funded Warrants and Common Warrants do not purport to be complete and are qualified in their entirety by reference to the full text of the forms of such agreements, which are filed as Exhibits 10.1, 10.2, 10.3, 4.1 and 4.2 to this Current Report on Form 8-K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issuance and sale of the Shares and the Pre-Funded Warrants at the Closing were made, and the issuance of the Warrant Shares upon exercise of the Pre-Funded Warrants and the Common Warrants will be made, in reliance upon the exemption from registration provided by Section 4(a)(2) of the Securities Act of 1933, as amended (the “Securities Act”), and Rule 506(b) of Regulation D promulgated thereunder, as transactions by an issuer not involving a public offering. The Investors represented that they are “accredited investors” as defined in Rule 501(a) under the Securities Act.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in Item 1.01 is incorporated by reference herein.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May 21, 2026, the Company issued a press release announcing the pricing of this Offering described above. A copy of that press release is furnished as Exhibit 99.1 hereto.</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including Exhibit 99.1, is being furnished and shall not be deemed “filed” for purposes of Section 18 of the Securities Exchange Act of 1934, as amended,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Current Report on Form 8-K does not constitute an offer to sell any securities or a solicitation of an offer to buy any securities, nor shall there be any sale of any securities in any state or jurisdiction in which such an offer, solicitation or sale would be unlawful prior to registration or qualification under the securities laws of any such state or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ind w:left="60"/>
        <w:spacing w:after="0"/>
        <w:tabs>
          <w:tab w:leader="none" w:pos="108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19685</wp:posOffset>
            </wp:positionV>
            <wp:extent cx="64376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37630" cy="8255"/>
                    </a:xfrm>
                    <a:prstGeom prst="rect">
                      <a:avLst/>
                    </a:prstGeom>
                    <a:noFill/>
                  </pic:spPr>
                </pic:pic>
              </a:graphicData>
            </a:graphic>
          </wp:anchor>
        </w:drawing>
      </w:r>
    </w:p>
    <w:p>
      <w:pPr>
        <w:spacing w:after="0" w:line="11" w:lineRule="exact"/>
        <w:rPr>
          <w:sz w:val="20"/>
          <w:szCs w:val="20"/>
          <w:color w:val="auto"/>
        </w:rPr>
      </w:pPr>
    </w:p>
    <w:p>
      <w:pPr>
        <w:ind w:left="380"/>
        <w:spacing w:after="0"/>
        <w:tabs>
          <w:tab w:leader="none" w:pos="108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u w:val="single" w:color="auto"/>
          <w:color w:val="0000EE"/>
        </w:rPr>
        <w:t>Form of Pre-Funded Common Stock Purchase Warrant</w:t>
      </w:r>
    </w:p>
    <w:p>
      <w:pPr>
        <w:spacing w:after="0" w:line="23" w:lineRule="exact"/>
        <w:rPr>
          <w:sz w:val="20"/>
          <w:szCs w:val="20"/>
          <w:color w:val="auto"/>
        </w:rPr>
      </w:pPr>
    </w:p>
    <w:p>
      <w:pPr>
        <w:ind w:left="380"/>
        <w:spacing w:after="0"/>
        <w:tabs>
          <w:tab w:leader="none" w:pos="108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u w:val="single" w:color="auto"/>
          <w:color w:val="0000EE"/>
        </w:rPr>
        <w:t>Form of Common Stock Purchase Warrant</w:t>
      </w:r>
    </w:p>
    <w:p>
      <w:pPr>
        <w:spacing w:after="0" w:line="9" w:lineRule="exact"/>
        <w:rPr>
          <w:sz w:val="20"/>
          <w:szCs w:val="20"/>
          <w:color w:val="auto"/>
        </w:rPr>
      </w:pPr>
    </w:p>
    <w:p>
      <w:pPr>
        <w:ind w:left="340"/>
        <w:spacing w:after="0"/>
        <w:tabs>
          <w:tab w:leader="none" w:pos="108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Form of Securities Purchase Agreement by and between the Company and the Investors</w:t>
      </w:r>
    </w:p>
    <w:p>
      <w:pPr>
        <w:spacing w:after="0" w:line="9" w:lineRule="exact"/>
        <w:rPr>
          <w:sz w:val="20"/>
          <w:szCs w:val="20"/>
          <w:color w:val="auto"/>
        </w:rPr>
      </w:pPr>
    </w:p>
    <w:p>
      <w:pPr>
        <w:ind w:left="340"/>
        <w:spacing w:after="0"/>
        <w:tabs>
          <w:tab w:leader="none" w:pos="108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u w:val="single" w:color="auto"/>
          <w:color w:val="0000EE"/>
        </w:rPr>
        <w:t>Form of Registration Rights Agreement by and between the Company and the Investors</w:t>
      </w:r>
    </w:p>
    <w:p>
      <w:pPr>
        <w:spacing w:after="0" w:line="9" w:lineRule="exact"/>
        <w:rPr>
          <w:sz w:val="20"/>
          <w:szCs w:val="20"/>
          <w:color w:val="auto"/>
        </w:rPr>
      </w:pPr>
    </w:p>
    <w:p>
      <w:pPr>
        <w:ind w:left="340"/>
        <w:spacing w:after="0"/>
        <w:tabs>
          <w:tab w:leader="none" w:pos="108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u w:val="single" w:color="auto"/>
          <w:color w:val="0000EE"/>
        </w:rPr>
        <w:t>Form of Placement Agency Agreement, by and between the Company and E.F. Hutton &amp; Co. LLC</w:t>
      </w:r>
    </w:p>
    <w:p>
      <w:pPr>
        <w:spacing w:after="0" w:line="9" w:lineRule="exact"/>
        <w:rPr>
          <w:sz w:val="20"/>
          <w:szCs w:val="20"/>
          <w:color w:val="auto"/>
        </w:rPr>
      </w:pPr>
    </w:p>
    <w:p>
      <w:pPr>
        <w:ind w:left="340"/>
        <w:spacing w:after="0"/>
        <w:tabs>
          <w:tab w:leader="none" w:pos="10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May 21, 2026.</w:t>
      </w:r>
    </w:p>
    <w:p>
      <w:pPr>
        <w:spacing w:after="0" w:line="9" w:lineRule="exact"/>
        <w:rPr>
          <w:sz w:val="20"/>
          <w:szCs w:val="20"/>
          <w:color w:val="auto"/>
        </w:rPr>
      </w:pPr>
    </w:p>
    <w:p>
      <w:pPr>
        <w:ind w:left="360"/>
        <w:spacing w:after="0"/>
        <w:tabs>
          <w:tab w:leader="none" w:pos="10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HCW BIOLOGICS INC.</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Date:May 21, 2026</w:t>
            </w:r>
          </w:p>
        </w:tc>
        <w:tc>
          <w:tcPr>
            <w:tcW w:w="772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Hing C. Wong</w:t>
            </w:r>
          </w:p>
        </w:tc>
      </w:tr>
      <w:tr>
        <w:trPr>
          <w:trHeight w:val="228"/>
        </w:trPr>
        <w:tc>
          <w:tcPr>
            <w:tcW w:w="35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Hing C. Wong, Founder and Chief Executive Officer</w:t>
            </w:r>
          </w:p>
        </w:tc>
      </w:tr>
      <w:tr>
        <w:trPr>
          <w:trHeight w:val="414"/>
        </w:trPr>
        <w:tc>
          <w:tcPr>
            <w:tcW w:w="35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HCW BIOLOGICS INC.</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PRE-FUNDED WARRANT</w:t>
      </w:r>
    </w:p>
    <w:p>
      <w:pPr>
        <w:sectPr>
          <w:pgSz w:w="11900" w:h="16838" w:orient="portrait"/>
          <w:cols w:equalWidth="0" w:num="1">
            <w:col w:w="11240"/>
          </w:cols>
          <w:pgMar w:left="320" w:top="333"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Shares: [ ]</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 Exercise Date: [_______],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 Date: [_______], 2026</w:t>
      </w:r>
    </w:p>
    <w:p>
      <w:pPr>
        <w:spacing w:after="0" w:line="200" w:lineRule="exact"/>
        <w:rPr>
          <w:sz w:val="20"/>
          <w:szCs w:val="20"/>
          <w:color w:val="auto"/>
        </w:rPr>
      </w:pPr>
    </w:p>
    <w:p>
      <w:pPr>
        <w:sectPr>
          <w:pgSz w:w="11900" w:h="16838" w:orient="portrait"/>
          <w:cols w:equalWidth="0" w:num="2">
            <w:col w:w="7740" w:space="720"/>
            <w:col w:w="2780"/>
          </w:cols>
          <w:pgMar w:left="320" w:top="333" w:right="339" w:bottom="1440" w:gutter="0" w:footer="0" w:header="0"/>
          <w:type w:val="continuous"/>
        </w:sectPr>
      </w:pP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PRE-FUNDED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[_______] 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upon the terms and subject to the limitations on exercise and the conditions hereinafter set forth, at any time on or after the date hereof (the “</w:t>
      </w:r>
      <w:r>
        <w:rPr>
          <w:rFonts w:ascii="Times New Roman" w:cs="Times New Roman" w:eastAsia="Times New Roman" w:hAnsi="Times New Roman"/>
          <w:sz w:val="18"/>
          <w:szCs w:val="18"/>
          <w:u w:val="single" w:color="auto"/>
          <w:color w:val="auto"/>
        </w:rPr>
        <w:t>Initial Exercise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and until this Warrant is exercised in full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HCW Biologics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[_____] shares of Common Stock (as subject to adjustment hereunder,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The purchase price of one share of Common Stock under this Warrant shall be equal to the Exercise Price, as defined in Section 2(b).</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 ], 2026, among the Company and the purchasers signatory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66" w:lineRule="auto"/>
        <w:tabs>
          <w:tab w:leader="none" w:pos="1493"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of Warrant</w:t>
      </w:r>
      <w:r>
        <w:rPr>
          <w:rFonts w:ascii="Times New Roman" w:cs="Times New Roman" w:eastAsia="Times New Roman" w:hAnsi="Times New Roman"/>
          <w:sz w:val="17"/>
          <w:szCs w:val="17"/>
          <w:color w:val="auto"/>
        </w:rPr>
        <w:t>. Subject to Section 2(e) herein, exercise of the purchase rights represented by this Warrant may be made, in whole or in part, at any time or times on or after the Initial Exercise Date and on or before the Termination Date by delivery to the Company of a duly executed facsimile copy or PDF copy submitted by e-mail (or e-mail attachment) of the Notice of Exercise in the form annexed hereto (the “</w:t>
      </w:r>
      <w:r>
        <w:rPr>
          <w:rFonts w:ascii="Times New Roman" w:cs="Times New Roman" w:eastAsia="Times New Roman" w:hAnsi="Times New Roman"/>
          <w:sz w:val="17"/>
          <w:szCs w:val="17"/>
          <w:u w:val="single" w:color="auto"/>
          <w:color w:val="auto"/>
        </w:rPr>
        <w:t>Notice of Exercise</w:t>
      </w:r>
      <w:r>
        <w:rPr>
          <w:rFonts w:ascii="Times New Roman" w:cs="Times New Roman" w:eastAsia="Times New Roman" w:hAnsi="Times New Roman"/>
          <w:sz w:val="17"/>
          <w:szCs w:val="17"/>
          <w:color w:val="auto"/>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 w:cs="Times New Roman" w:eastAsia="Times New Roman" w:hAnsi="Times New Roman"/>
          <w:sz w:val="17"/>
          <w:szCs w:val="17"/>
          <w:b w:val="1"/>
          <w:bCs w:val="1"/>
          <w:color w:val="auto"/>
        </w:rPr>
        <w:t>The</w:t>
      </w:r>
    </w:p>
    <w:p>
      <w:pPr>
        <w:spacing w:after="0" w:line="8" w:lineRule="exact"/>
        <w:rPr>
          <w:rFonts w:ascii="Times New Roman" w:cs="Times New Roman" w:eastAsia="Times New Roman" w:hAnsi="Times New Roman"/>
          <w:sz w:val="17"/>
          <w:szCs w:val="17"/>
          <w:color w:val="auto"/>
        </w:rPr>
      </w:pPr>
    </w:p>
    <w:p>
      <w:pPr>
        <w:jc w:val="both"/>
        <w:ind w:left="660" w:right="2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color w:val="auto"/>
        </w:rPr>
        <w:t>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5" w:name="page6"/>
    <w:bookmarkEnd w:id="5"/>
    <w:p>
      <w:pPr>
        <w:jc w:val="both"/>
        <w:ind w:left="4" w:firstLine="644"/>
        <w:spacing w:after="0" w:line="256" w:lineRule="auto"/>
        <w:tabs>
          <w:tab w:leader="none" w:pos="84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aggregate exercise price of this Warrant, except for a nominal exercise price of $0.0001 per Warrant Share, was pre-funded to the Company on or prior to the Initial Exercise Date and, consequently, no additional consideration (other than the nominal exercise price of $0.0001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The remaining unpaid exercise price per share of Common Stock under this Warrant shall be $0.0001,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This Warrant may also be exercised, in whole or in part, at such time by means of a “cashless exercise” in which the Holder</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be entitled to receive a number of Warrant Shares equal to the quotient obtained by dividing </w:t>
      </w:r>
      <w:r>
        <w:rPr>
          <w:rFonts w:ascii="Times New Roman" w:cs="Times New Roman" w:eastAsia="Times New Roman" w:hAnsi="Times New Roman"/>
          <w:sz w:val="1"/>
          <w:szCs w:val="1"/>
          <w:color w:val="auto"/>
        </w:rPr>
        <w:drawing>
          <wp:inline distT="0" distB="0" distL="0" distR="0">
            <wp:extent cx="317500" cy="22288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7500" cy="222885"/>
                    </a:xfrm>
                    <a:prstGeom prst="rect">
                      <a:avLst/>
                    </a:prstGeom>
                    <a:noFill/>
                    <a:ln>
                      <a:noFill/>
                    </a:ln>
                  </pic:spPr>
                </pic:pic>
              </a:graphicData>
            </a:graphic>
          </wp:inline>
        </w:drawing>
      </w:r>
      <w:r>
        <w:rPr>
          <w:rFonts w:ascii="Times New Roman" w:cs="Times New Roman" w:eastAsia="Times New Roman" w:hAnsi="Times New Roman"/>
          <w:sz w:val="18"/>
          <w:szCs w:val="18"/>
          <w:color w:val="auto"/>
        </w:rPr>
        <w:t>, where:</w:t>
      </w:r>
    </w:p>
    <w:p>
      <w:pPr>
        <w:spacing w:after="0" w:line="213" w:lineRule="exact"/>
        <w:rPr>
          <w:sz w:val="20"/>
          <w:szCs w:val="20"/>
          <w:color w:val="auto"/>
        </w:rPr>
      </w:pPr>
    </w:p>
    <w:p>
      <w:pPr>
        <w:jc w:val="both"/>
        <w:ind w:left="4" w:hanging="4"/>
        <w:spacing w:after="0" w:line="254" w:lineRule="auto"/>
        <w:tabs>
          <w:tab w:leader="none" w:pos="31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on the Trading Day immediately preceding the date of the applicable Notice of Exercise if such Notice of Exercise is (1) delivered pursuant to Section 2(a) hereof on a day that is not a Trading Day or (2) delivered pursuant to Section 2(a) hereof on a Trading Day prior to the opening of “regular trading hours” (as defined in Rule 600(b) of Regulation NMS promulgated under the federal securities laws) on such Trading Day, (ii) the highest Bid Price of the shares of Common Stock on the principal Trading Market as reported by Bloomberg L.P. (“Bloomberg”) within two (2) hours of the time of the Holder’s delivery of the Notice of Exercise pursuant to Section 2(a) hereof if such Notice of Exercise is delivered during “regular trading hours,” or with two (2) hours after the close of “regular trading hours,” on a Trading Day or (iii) the VWAP on the date of the applicable Notice of Exercise if the date of such Notice of Exercise is a Trading Day and such Notice of Exercise is delivered pursuant to Section 2(a) hereof after two (2) hours following the close of “regular trading hours” on such Trading Day;</w:t>
      </w:r>
    </w:p>
    <w:p>
      <w:pPr>
        <w:spacing w:after="0" w:line="191"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Warrant, as adjusted hereunder; and</w:t>
      </w:r>
    </w:p>
    <w:p>
      <w:pPr>
        <w:spacing w:after="0" w:line="225" w:lineRule="exact"/>
        <w:rPr>
          <w:sz w:val="20"/>
          <w:szCs w:val="20"/>
          <w:color w:val="auto"/>
        </w:rPr>
      </w:pPr>
    </w:p>
    <w:p>
      <w:pPr>
        <w:ind w:left="4" w:right="20" w:hanging="4"/>
        <w:spacing w:after="0" w:line="282" w:lineRule="auto"/>
        <w:tabs>
          <w:tab w:leader="none" w:pos="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62"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6" w:name="page7"/>
    <w:bookmarkEnd w:id="6"/>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3(a)(9) of the Securities Act, the Warrant Shares shall take on the characteristics of the Warrants being exercised, and the holding period of the Warrant Shares being issued may be tacked on to the holding period of this Warrant. The Company agrees not to take any position contrary to this Section 2(c).</w:t>
      </w:r>
    </w:p>
    <w:p>
      <w:pPr>
        <w:spacing w:after="0" w:line="176" w:lineRule="exact"/>
        <w:rPr>
          <w:sz w:val="20"/>
          <w:szCs w:val="20"/>
          <w:color w:val="auto"/>
        </w:rPr>
      </w:pPr>
    </w:p>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shares of Common Stock are then listed or quoted on a Trading Market, the daily volume weighted average price of the shares of Common Stock for such date (or the nearest preceding date) on the Trading Market on which the shares of Common Stock is then listed or quoted as reported by Bloomberg (based on a Trading Day from 9:30 a.m. (New York City time) to 4:02 p.m. (New York City time)), (b) if OTCQB or OTCQX is not a Trading Market, the volume weighted average price of the shares of Common Stock for such date (or the nearest preceding date) on OTCQB or OTCQX as applicable,</w:t>
      </w:r>
    </w:p>
    <w:p>
      <w:pPr>
        <w:spacing w:after="0" w:line="3" w:lineRule="exact"/>
        <w:rPr>
          <w:sz w:val="20"/>
          <w:szCs w:val="20"/>
          <w:color w:val="auto"/>
        </w:rPr>
      </w:pPr>
    </w:p>
    <w:p>
      <w:pPr>
        <w:jc w:val="both"/>
        <w:ind w:left="4" w:hanging="4"/>
        <w:spacing w:after="0" w:line="253"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shares of Common Stock are not then listed or quoted for trading on OTCQB or OTCQX and if prices for the shares of Common Stock are then reported in The Pink Open Market (or a similar organization or agency succeeding to its functions of reporting prices), the most recent bid price per shares of Common Stock so reported, or (d) in all other cases, the fair market value of a share of shares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87"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shares of Common Stock are then listed or quoted on a Trading Market, the bid price of the shares of Common Stock for the time in question (or the nearest preceding date) on the Trading Market on which the shares of Common Stock are then listed or quoted as reported by Bloomberg (based on a Trading Day from 9:30 a.m. (New York City time) to 4:02 p.m. (New York City time)), (b) if OTCQB or OTCQX is not a Trading Market, the volume weighted average price of the shares of Common Stock for such date (or the nearest preceding date) on OTCQB or OTCQX as applicable, (c) if the shares of Common Stock are not then listed or quoted for trading on OTCQB or OTCQX and if prices for shares of Common Stock are then reported on The Pink Open Market (or a similar organization or agency succeeding to its functions of reporting prices), the most recent bid price per share of the shares of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7" w:name="page8"/>
    <w:bookmarkEnd w:id="7"/>
    <w:p>
      <w:pPr>
        <w:ind w:left="380" w:hanging="196"/>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40" w:firstLine="640"/>
        <w:spacing w:after="0" w:line="251" w:lineRule="auto"/>
        <w:tabs>
          <w:tab w:leader="none" w:pos="162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of the Notice of Exercise, and (ii) the number of Trading Days comprising the Standard Settlement Period after the delivery to the Company of the Notice of Exercise (such date,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shares of Common Stock on the date of the applicable Notice of Exercise), $10 per Trading Day (increasing to $20 per Trading Day on the third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shares of Common Stock as in effect on the date of delivery of the Notice of Exercise.</w:t>
      </w:r>
    </w:p>
    <w:p>
      <w:pPr>
        <w:spacing w:after="0" w:line="204" w:lineRule="exact"/>
        <w:rPr>
          <w:rFonts w:ascii="Times New Roman" w:cs="Times New Roman" w:eastAsia="Times New Roman" w:hAnsi="Times New Roman"/>
          <w:sz w:val="18"/>
          <w:szCs w:val="18"/>
          <w:color w:val="auto"/>
        </w:rPr>
      </w:pPr>
    </w:p>
    <w:p>
      <w:pPr>
        <w:jc w:val="both"/>
        <w:ind w:left="840" w:firstLine="640"/>
        <w:spacing w:after="0" w:line="261" w:lineRule="auto"/>
        <w:tabs>
          <w:tab w:leader="none" w:pos="169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79" w:lineRule="exact"/>
        <w:rPr>
          <w:rFonts w:ascii="Times New Roman" w:cs="Times New Roman" w:eastAsia="Times New Roman" w:hAnsi="Times New Roman"/>
          <w:sz w:val="18"/>
          <w:szCs w:val="18"/>
          <w:color w:val="auto"/>
        </w:rPr>
      </w:pPr>
    </w:p>
    <w:p>
      <w:pPr>
        <w:ind w:left="840" w:firstLine="640"/>
        <w:spacing w:after="0" w:line="282" w:lineRule="auto"/>
        <w:tabs>
          <w:tab w:leader="none" w:pos="174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then the Holder will have the right to rescind such exercise.</w:t>
      </w:r>
    </w:p>
    <w:p>
      <w:pPr>
        <w:spacing w:after="0" w:line="16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8" w:name="page9"/>
    <w:bookmarkEnd w:id="8"/>
    <w:p>
      <w:pPr>
        <w:jc w:val="both"/>
        <w:ind w:left="1000" w:firstLine="642"/>
        <w:spacing w:after="0" w:line="251" w:lineRule="auto"/>
        <w:tabs>
          <w:tab w:leader="none" w:pos="18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(other than any such failure that is solely due to any action or inaction by the Holder with respect to such exercise),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shares of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205" w:lineRule="exact"/>
        <w:rPr>
          <w:rFonts w:ascii="Times New Roman" w:cs="Times New Roman" w:eastAsia="Times New Roman" w:hAnsi="Times New Roman"/>
          <w:sz w:val="18"/>
          <w:szCs w:val="18"/>
          <w:color w:val="auto"/>
        </w:rPr>
      </w:pPr>
    </w:p>
    <w:p>
      <w:pPr>
        <w:jc w:val="both"/>
        <w:ind w:left="840" w:firstLine="640"/>
        <w:spacing w:after="0" w:line="261" w:lineRule="auto"/>
        <w:tabs>
          <w:tab w:leader="none" w:pos="167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79" w:lineRule="exact"/>
        <w:rPr>
          <w:rFonts w:ascii="Times New Roman" w:cs="Times New Roman" w:eastAsia="Times New Roman" w:hAnsi="Times New Roman"/>
          <w:sz w:val="18"/>
          <w:szCs w:val="18"/>
          <w:color w:val="auto"/>
        </w:rPr>
      </w:pPr>
    </w:p>
    <w:p>
      <w:pPr>
        <w:jc w:val="both"/>
        <w:ind w:left="840" w:firstLine="640"/>
        <w:spacing w:after="0" w:line="254" w:lineRule="auto"/>
        <w:tabs>
          <w:tab w:leader="none" w:pos="171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88" w:lineRule="exact"/>
        <w:rPr>
          <w:rFonts w:ascii="Times New Roman" w:cs="Times New Roman" w:eastAsia="Times New Roman" w:hAnsi="Times New Roman"/>
          <w:sz w:val="18"/>
          <w:szCs w:val="18"/>
          <w:color w:val="auto"/>
        </w:rPr>
      </w:pPr>
    </w:p>
    <w:p>
      <w:pPr>
        <w:ind w:left="840" w:firstLine="640"/>
        <w:spacing w:after="0" w:line="282" w:lineRule="auto"/>
        <w:tabs>
          <w:tab w:leader="none" w:pos="176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16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9" w:name="page10"/>
    <w:bookmarkEnd w:id="9"/>
    <w:p>
      <w:pPr>
        <w:jc w:val="both"/>
        <w:ind w:left="180" w:firstLine="4"/>
        <w:spacing w:after="0" w:line="251" w:lineRule="auto"/>
        <w:tabs>
          <w:tab w:leader="none" w:pos="37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 (or, upon election by a Holder prior to the issuance of any Warrants, 9.99%) of the number of shares of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w:t>
      </w:r>
    </w:p>
    <w:p>
      <w:pPr>
        <w:spacing w:after="0" w:line="1" w:lineRule="exact"/>
        <w:rPr>
          <w:sz w:val="20"/>
          <w:szCs w:val="20"/>
          <w:color w:val="auto"/>
        </w:rPr>
      </w:pPr>
    </w:p>
    <w:p>
      <w:pPr>
        <w:jc w:val="both"/>
        <w:ind w:left="180"/>
        <w:spacing w:after="0" w:line="231" w:lineRule="auto"/>
        <w:rPr>
          <w:sz w:val="20"/>
          <w:szCs w:val="20"/>
          <w:color w:val="auto"/>
        </w:rPr>
      </w:pPr>
      <w:r>
        <w:rPr>
          <w:rFonts w:ascii="Times New Roman" w:cs="Times New Roman" w:eastAsia="Times New Roman" w:hAnsi="Times New Roman"/>
          <w:sz w:val="18"/>
          <w:szCs w:val="18"/>
          <w:color w:val="auto"/>
        </w:rPr>
        <w:t>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3" w:lineRule="auto"/>
        <w:tabs>
          <w:tab w:leader="none" w:pos="8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shares of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Common Stock any shares or other equity interests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89" w:lineRule="exact"/>
        <w:rPr>
          <w:rFonts w:ascii="Times New Roman" w:cs="Times New Roman" w:eastAsia="Times New Roman" w:hAnsi="Times New Roman"/>
          <w:sz w:val="18"/>
          <w:szCs w:val="18"/>
          <w:color w:val="auto"/>
        </w:rPr>
      </w:pPr>
    </w:p>
    <w:p>
      <w:pPr>
        <w:jc w:val="both"/>
        <w:ind w:firstLine="644"/>
        <w:spacing w:after="0" w:line="269" w:lineRule="auto"/>
        <w:tabs>
          <w:tab w:leader="none" w:pos="843"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Subsequent Rights Offerings</w:t>
      </w:r>
      <w:r>
        <w:rPr>
          <w:rFonts w:ascii="Times New Roman" w:cs="Times New Roman" w:eastAsia="Times New Roman" w:hAnsi="Times New Roman"/>
          <w:sz w:val="17"/>
          <w:szCs w:val="17"/>
          <w:color w:val="auto"/>
        </w:rPr>
        <w:t>. In addition to any adjustments pursuant to Section 3(a) above, if at any time the Company grants, issues or sells any Common Stock Equivalents or rights to purchase stock, warrants, securities or other property pro rata to the record holders of any class of Common Stock (the “</w:t>
      </w:r>
      <w:r>
        <w:rPr>
          <w:rFonts w:ascii="Times New Roman" w:cs="Times New Roman" w:eastAsia="Times New Roman" w:hAnsi="Times New Roman"/>
          <w:sz w:val="17"/>
          <w:szCs w:val="17"/>
          <w:u w:val="single" w:color="auto"/>
          <w:color w:val="auto"/>
        </w:rPr>
        <w:t>Purchase Rights</w:t>
      </w:r>
      <w:r>
        <w:rPr>
          <w:rFonts w:ascii="Times New Roman" w:cs="Times New Roman" w:eastAsia="Times New Roman" w:hAnsi="Times New Roman"/>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Common Stock are to be determined for the grant, issue or sale of such Purchase Rights (provided, however,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81" w:lineRule="exact"/>
        <w:rPr>
          <w:rFonts w:ascii="Times New Roman" w:cs="Times New Roman" w:eastAsia="Times New Roman" w:hAnsi="Times New Roman"/>
          <w:sz w:val="17"/>
          <w:szCs w:val="17"/>
          <w:color w:val="auto"/>
        </w:rPr>
      </w:pPr>
    </w:p>
    <w:p>
      <w:pPr>
        <w:jc w:val="both"/>
        <w:ind w:firstLine="644"/>
        <w:spacing w:after="0" w:line="253" w:lineRule="auto"/>
        <w:tabs>
          <w:tab w:leader="none" w:pos="83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8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11" w:name="page12"/>
    <w:bookmarkEnd w:id="11"/>
    <w:p>
      <w:pPr>
        <w:jc w:val="both"/>
        <w:ind w:left="-460" w:firstLine="644"/>
        <w:spacing w:after="0" w:line="251" w:lineRule="auto"/>
        <w:tabs>
          <w:tab w:leader="none" w:pos="38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xml:space="preserve"> If, at any time while this Warrant is outstanding, (i) the Company, directly or indirectly, in one or more related transactions effects any merger or consolidation of the Company with or into another Person (excluding mergers effected solely to change the Company’s name), (ii) the Company (and all of its Subsidiaries, taken as a whole),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more than 50% of the outstanding shares of Common Stock or more than 50% of the voting power of the common equity of the Company, (iv) the Company, directly or indirectly, in one or more related transactions effects any reclassification, reorganization or recapitalization of the shares of Common Stock or any compulsory share exchange pursuant to which the shares of Common Stock are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Common Stock or more than 50% of the voting power of the common equity of the Company (each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and to the extent is within the Company’s control to cause the successor or acquiring corporation to deliver to the Holder the foregoing,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that is within the Company’s control and in which the Company is not the survivor (the “Successor Entity”) to assume in writing all of the obligations of the Company under this Warrant and the other Transaction Documents in accordance with the provisions of this Section 3(e)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Upon the occurrence of any such Fundamental Transaction, the Successor Entity shall succeed to, and be substituted for (so that from and after the date of such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w:t>
      </w:r>
    </w:p>
    <w:p>
      <w:pPr>
        <w:spacing w:after="0" w:line="19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2" w:name="page13"/>
    <w:bookmarkEnd w:id="12"/>
    <w:p>
      <w:pPr>
        <w:jc w:val="both"/>
        <w:ind w:left="-460" w:firstLine="644"/>
        <w:spacing w:after="0" w:line="266" w:lineRule="auto"/>
        <w:tabs>
          <w:tab w:leader="none" w:pos="35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6" w:lineRule="exact"/>
        <w:rPr>
          <w:sz w:val="20"/>
          <w:szCs w:val="20"/>
          <w:color w:val="auto"/>
        </w:rPr>
      </w:pPr>
    </w:p>
    <w:p>
      <w:pPr>
        <w:ind w:left="360" w:hanging="176"/>
        <w:spacing w:after="0"/>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840" w:firstLine="972"/>
        <w:spacing w:after="0" w:line="261"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spacing w:after="0" w:line="180" w:lineRule="exact"/>
        <w:rPr>
          <w:sz w:val="20"/>
          <w:szCs w:val="20"/>
          <w:color w:val="auto"/>
        </w:rPr>
      </w:pPr>
    </w:p>
    <w:p>
      <w:pPr>
        <w:jc w:val="both"/>
        <w:ind w:left="840" w:firstLine="964"/>
        <w:spacing w:after="0" w:line="251" w:lineRule="auto"/>
        <w:tabs>
          <w:tab w:leader="none" w:pos="200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shares of Common Stock, (B) the Company shall declare a special nonrecurring cash dividend on or a redemption of the shares of Common Stock, (C) the Company shall authorize the granting to all holders of Common Stock rights or warrants to subscribe for or purchase any shares of Common Stock (or other equity interests) of any class or of any rights, (D) the approval of any stockholders of the Company shall be required in connection with any reclassification of the shares of Common Stock, any consolidation or merger to which the Company (or any of its Subsidiaries) is a party, any sale or transfer of all or substantially all of its assets, or any compulsory share exchange whereby the shares of Common Stock are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10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shares of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shares of Common Stock of record shall be entitled to exchange their shares of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Report on Form 6-K. The Holder shall remain entitled to exercise this Warrant during the period commencing on the date of such notice to the effective date of the event triggering such notice except as may otherwise be expressly set forth herein.</w:t>
      </w:r>
    </w:p>
    <w:p>
      <w:pPr>
        <w:spacing w:after="0" w:line="20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3" w:lineRule="auto"/>
        <w:tabs>
          <w:tab w:leader="none" w:pos="84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91" w:lineRule="exact"/>
        <w:rPr>
          <w:rFonts w:ascii="Times New Roman" w:cs="Times New Roman" w:eastAsia="Times New Roman" w:hAnsi="Times New Roman"/>
          <w:sz w:val="18"/>
          <w:szCs w:val="18"/>
          <w:color w:val="auto"/>
        </w:rPr>
      </w:pPr>
    </w:p>
    <w:p>
      <w:pPr>
        <w:jc w:val="both"/>
        <w:ind w:firstLine="644"/>
        <w:spacing w:after="0" w:line="256" w:lineRule="auto"/>
        <w:tabs>
          <w:tab w:leader="none" w:pos="84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original Issue Date and shall be identical with this Warrant except as to the number of Warrant Shares issuable pursuant thereto.</w:t>
      </w:r>
    </w:p>
    <w:p>
      <w:pPr>
        <w:spacing w:after="0" w:line="187" w:lineRule="exact"/>
        <w:rPr>
          <w:rFonts w:ascii="Times New Roman" w:cs="Times New Roman" w:eastAsia="Times New Roman" w:hAnsi="Times New Roman"/>
          <w:sz w:val="18"/>
          <w:szCs w:val="18"/>
          <w:color w:val="auto"/>
        </w:rPr>
      </w:pPr>
    </w:p>
    <w:p>
      <w:pPr>
        <w:jc w:val="both"/>
        <w:ind w:firstLine="644"/>
        <w:spacing w:after="0" w:line="261" w:lineRule="auto"/>
        <w:tabs>
          <w:tab w:leader="none" w:pos="84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61" w:lineRule="auto"/>
        <w:tabs>
          <w:tab w:leader="none" w:pos="8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in no event shall the Company be required to net cash settle an exercise of this Warrant.</w:t>
      </w:r>
    </w:p>
    <w:p>
      <w:pPr>
        <w:spacing w:after="0" w:line="179" w:lineRule="exact"/>
        <w:rPr>
          <w:rFonts w:ascii="Times New Roman" w:cs="Times New Roman" w:eastAsia="Times New Roman" w:hAnsi="Times New Roman"/>
          <w:sz w:val="18"/>
          <w:szCs w:val="18"/>
          <w:color w:val="auto"/>
        </w:rPr>
      </w:pPr>
    </w:p>
    <w:p>
      <w:pPr>
        <w:jc w:val="both"/>
        <w:ind w:firstLine="644"/>
        <w:spacing w:after="0" w:line="258" w:lineRule="auto"/>
        <w:tabs>
          <w:tab w:leader="none" w:pos="84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3" w:lineRule="exact"/>
        <w:rPr>
          <w:rFonts w:ascii="Times New Roman" w:cs="Times New Roman" w:eastAsia="Times New Roman" w:hAnsi="Times New Roman"/>
          <w:sz w:val="18"/>
          <w:szCs w:val="18"/>
          <w:color w:val="auto"/>
        </w:rPr>
      </w:pPr>
    </w:p>
    <w:p>
      <w:pPr>
        <w:ind w:right="20" w:firstLine="644"/>
        <w:spacing w:after="0" w:line="282" w:lineRule="auto"/>
        <w:tabs>
          <w:tab w:leader="none" w:pos="83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161" w:lineRule="exact"/>
        <w:rPr>
          <w:rFonts w:ascii="Times New Roman" w:cs="Times New Roman" w:eastAsia="Times New Roman" w:hAnsi="Times New Roman"/>
          <w:sz w:val="18"/>
          <w:szCs w:val="18"/>
          <w:color w:val="auto"/>
        </w:rPr>
      </w:pPr>
    </w:p>
    <w:p>
      <w:pPr>
        <w:ind w:left="840" w:hanging="196"/>
        <w:spacing w:after="0"/>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0" w:firstLine="648"/>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it will reserve from its authorized and unissued shares of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shares of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15" w:name="page16"/>
    <w:bookmarkEnd w:id="15"/>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94"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ind w:left="-460" w:firstLine="644"/>
        <w:spacing w:after="0" w:line="282" w:lineRule="auto"/>
        <w:tabs>
          <w:tab w:leader="none" w:pos="37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Purchase Agreement.</w:t>
      </w:r>
    </w:p>
    <w:p>
      <w:pPr>
        <w:spacing w:after="0" w:line="161"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36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39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7"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38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34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shares of Common Stock or as a stockholder of the Company, whether such liability is asserted by the Company or by creditors of the Company.</w:t>
      </w:r>
    </w:p>
    <w:p>
      <w:pPr>
        <w:spacing w:after="0" w:line="18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6" w:name="page17"/>
    <w:bookmarkEnd w:id="16"/>
    <w:p>
      <w:pPr>
        <w:jc w:val="both"/>
        <w:ind w:firstLine="644"/>
        <w:spacing w:after="0" w:line="261" w:lineRule="auto"/>
        <w:tabs>
          <w:tab w:leader="none" w:pos="8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jc w:val="both"/>
        <w:ind w:firstLine="644"/>
        <w:spacing w:after="0" w:line="261" w:lineRule="auto"/>
        <w:tabs>
          <w:tab w:leader="none" w:pos="84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79" w:lineRule="exact"/>
        <w:rPr>
          <w:rFonts w:ascii="Times New Roman" w:cs="Times New Roman" w:eastAsia="Times New Roman" w:hAnsi="Times New Roman"/>
          <w:sz w:val="18"/>
          <w:szCs w:val="18"/>
          <w:color w:val="auto"/>
        </w:rPr>
      </w:pPr>
    </w:p>
    <w:p>
      <w:pPr>
        <w:ind w:right="20" w:firstLine="644"/>
        <w:spacing w:after="0" w:line="282" w:lineRule="auto"/>
        <w:tabs>
          <w:tab w:leader="none" w:pos="8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on the one hand, and the written consent of the holders holding the majority of the then outstanding Warrants, on the other hand.</w:t>
      </w:r>
    </w:p>
    <w:p>
      <w:pPr>
        <w:spacing w:after="0" w:line="161" w:lineRule="exact"/>
        <w:rPr>
          <w:rFonts w:ascii="Times New Roman" w:cs="Times New Roman" w:eastAsia="Times New Roman" w:hAnsi="Times New Roman"/>
          <w:sz w:val="18"/>
          <w:szCs w:val="18"/>
          <w:color w:val="auto"/>
        </w:rPr>
      </w:pPr>
    </w:p>
    <w:p>
      <w:pPr>
        <w:jc w:val="both"/>
        <w:ind w:firstLine="644"/>
        <w:spacing w:after="0" w:line="266" w:lineRule="auto"/>
        <w:tabs>
          <w:tab w:leader="none" w:pos="89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5" w:lineRule="exact"/>
        <w:rPr>
          <w:rFonts w:ascii="Times New Roman" w:cs="Times New Roman" w:eastAsia="Times New Roman" w:hAnsi="Times New Roman"/>
          <w:sz w:val="18"/>
          <w:szCs w:val="18"/>
          <w:color w:val="auto"/>
        </w:rPr>
      </w:pPr>
    </w:p>
    <w:p>
      <w:pPr>
        <w:ind w:right="20" w:firstLine="644"/>
        <w:spacing w:after="0" w:line="282" w:lineRule="auto"/>
        <w:tabs>
          <w:tab w:leader="none" w:pos="84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2"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 Signature Page Follows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17" w:name="page18"/>
    <w:bookmarkEnd w:id="17"/>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 above indicated.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HCW BIOLOGICS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_______________________</w:t>
      </w:r>
    </w:p>
    <w:p>
      <w:pPr>
        <w:spacing w:after="0" w:line="225" w:lineRule="exact"/>
        <w:rPr>
          <w:sz w:val="20"/>
          <w:szCs w:val="20"/>
          <w:color w:val="auto"/>
        </w:rPr>
      </w:pPr>
    </w:p>
    <w:p>
      <w:pPr>
        <w:ind w:firstLine="1304"/>
        <w:spacing w:after="0" w:line="282" w:lineRule="auto"/>
        <w:tabs>
          <w:tab w:leader="none" w:pos="155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2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lawful money of the United States; or</w:t>
      </w:r>
    </w:p>
    <w:p>
      <w:pPr>
        <w:spacing w:after="0" w:line="225" w:lineRule="exact"/>
        <w:rPr>
          <w:rFonts w:ascii="MS PGothic" w:cs="MS PGothic" w:eastAsia="MS PGothic" w:hAnsi="MS PGothic"/>
          <w:sz w:val="18"/>
          <w:szCs w:val="18"/>
          <w:color w:val="auto"/>
        </w:rPr>
      </w:pPr>
    </w:p>
    <w:p>
      <w:pPr>
        <w:jc w:val="both"/>
        <w:ind w:left="1960" w:right="20" w:hanging="8"/>
        <w:spacing w:after="0" w:line="266" w:lineRule="auto"/>
        <w:tabs>
          <w:tab w:leader="none" w:pos="2181" w:val="left"/>
        </w:tabs>
        <w:numPr>
          <w:ilvl w:val="1"/>
          <w:numId w:val="2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75" w:lineRule="exact"/>
        <w:rPr>
          <w:rFonts w:ascii="MS PGothic" w:cs="MS PGothic" w:eastAsia="MS PGothic" w:hAnsi="MS PGothic"/>
          <w:sz w:val="18"/>
          <w:szCs w:val="18"/>
          <w:color w:val="auto"/>
        </w:rPr>
      </w:pPr>
    </w:p>
    <w:p>
      <w:pPr>
        <w:ind w:left="1560" w:hanging="256"/>
        <w:spacing w:after="0"/>
        <w:tabs>
          <w:tab w:leader="none" w:pos="15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 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________________________________________________________________________________________</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9" w:name="page20"/>
    <w:bookmarkEnd w:id="19"/>
    <w:p>
      <w:pPr>
        <w:ind w:left="4760"/>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ind w:left="340" w:right="679"/>
        <w:spacing w:after="0" w:line="502" w:lineRule="auto"/>
        <w:rPr>
          <w:sz w:val="20"/>
          <w:szCs w:val="20"/>
          <w:color w:val="auto"/>
        </w:rPr>
      </w:pPr>
      <w:r>
        <w:rPr>
          <w:rFonts w:ascii="Times New Roman" w:cs="Times New Roman" w:eastAsia="Times New Roman" w:hAnsi="Times New Roman"/>
          <w:sz w:val="18"/>
          <w:szCs w:val="18"/>
          <w:i w:val="1"/>
          <w:iCs w:val="1"/>
          <w:color w:val="auto"/>
        </w:rPr>
        <w:t xml:space="preserve">(To assign the foregoing Warrant, execute this form and supply required information. Do not use this form to purchase shares.) </w:t>
      </w: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 __, 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sectPr>
      </w:pPr>
    </w:p>
    <w:bookmarkStart w:id="20" w:name="page21"/>
    <w:bookmarkEnd w:id="20"/>
    <w:p>
      <w:pPr>
        <w:ind w:left="10400"/>
        <w:spacing w:after="0"/>
        <w:rPr>
          <w:sz w:val="20"/>
          <w:szCs w:val="20"/>
          <w:color w:val="auto"/>
        </w:rPr>
      </w:pPr>
      <w:r>
        <w:rPr>
          <w:rFonts w:ascii="Times New Roman" w:cs="Times New Roman" w:eastAsia="Times New Roman" w:hAnsi="Times New Roman"/>
          <w:sz w:val="17"/>
          <w:szCs w:val="17"/>
          <w:b w:val="1"/>
          <w:bCs w:val="1"/>
          <w:color w:val="auto"/>
        </w:rPr>
        <w:t>Exhibit 4.2</w:t>
      </w:r>
    </w:p>
    <w:p>
      <w:pPr>
        <w:spacing w:after="0" w:line="2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COMMON STOCK PURCHASE WARRANT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HCW BIOLOGICS INC.</w:t>
      </w:r>
    </w:p>
    <w:p>
      <w:pPr>
        <w:sectPr>
          <w:pgSz w:w="11900" w:h="16838" w:orient="portrait"/>
          <w:cols w:equalWidth="0" w:num="1">
            <w:col w:w="11240"/>
          </w:cols>
          <w:pgMar w:left="320" w:top="333"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 Shares: _______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 Date: May 21, 2026</w:t>
      </w:r>
    </w:p>
    <w:p>
      <w:pPr>
        <w:spacing w:after="0" w:line="200" w:lineRule="exact"/>
        <w:rPr>
          <w:sz w:val="20"/>
          <w:szCs w:val="20"/>
          <w:color w:val="auto"/>
        </w:rPr>
      </w:pPr>
    </w:p>
    <w:p>
      <w:pPr>
        <w:sectPr>
          <w:pgSz w:w="11900" w:h="16838" w:orient="portrait"/>
          <w:cols w:equalWidth="0" w:num="2">
            <w:col w:w="8660" w:space="720"/>
            <w:col w:w="1860"/>
          </w:cols>
          <w:pgMar w:left="320" w:top="333" w:right="339" w:bottom="1440" w:gutter="0" w:footer="0" w:header="0"/>
          <w:type w:val="continuous"/>
        </w:sectPr>
      </w:pPr>
    </w:p>
    <w:p>
      <w:pPr>
        <w:spacing w:after="0" w:line="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THIS COMMON STOCK PURCHASE WARRANT (the “</w:t>
      </w:r>
      <w:r>
        <w:rPr>
          <w:rFonts w:ascii="Times New Roman" w:cs="Times New Roman" w:eastAsia="Times New Roman" w:hAnsi="Times New Roman"/>
          <w:sz w:val="17"/>
          <w:szCs w:val="17"/>
          <w:u w:val="single" w:color="auto"/>
          <w:color w:val="auto"/>
        </w:rPr>
        <w:t>Warrant</w:t>
      </w:r>
      <w:r>
        <w:rPr>
          <w:rFonts w:ascii="Times New Roman" w:cs="Times New Roman" w:eastAsia="Times New Roman" w:hAnsi="Times New Roman"/>
          <w:sz w:val="17"/>
          <w:szCs w:val="17"/>
          <w:color w:val="auto"/>
        </w:rPr>
        <w:t>”) certifies that, for value received, _____________. or its assigns (the</w:t>
      </w:r>
    </w:p>
    <w:p>
      <w:pPr>
        <w:spacing w:after="0" w:line="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 the date of issuance hereof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on or prior to 5:00 p.m. (New York City time) on the date that is five and one-half (5.5) years after the Initial Exercise Date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HCW Biologics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________ shares (as subject to adjustment hereunder,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of Common Stock. The purchase price of one share of Common Stock under this Warrant shall be equal to the Exercise Price, as defined in Section 2(b).</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Securities Purchase Agreement (the “Purchase Agreement”), dated May 21, 2026, among the Company and the purchasers signatory thereto. In addition to the terms defined elsewhere in this Warrant, the following terms have the meanings indicated in this Section 1:</w:t>
      </w:r>
    </w:p>
    <w:p>
      <w:pPr>
        <w:spacing w:after="0" w:line="176" w:lineRule="exact"/>
        <w:rPr>
          <w:sz w:val="20"/>
          <w:szCs w:val="20"/>
          <w:color w:val="auto"/>
        </w:rPr>
      </w:pPr>
    </w:p>
    <w:p>
      <w:pPr>
        <w:ind w:left="13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21" w:name="page22"/>
    <w:bookmarkEnd w:id="21"/>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9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left="18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left="1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 par value $0.0001 per share, and any other class of securities into which such securities may hereafter be reclassified or changed.</w:t>
      </w:r>
    </w:p>
    <w:p>
      <w:pPr>
        <w:spacing w:after="0" w:line="162"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both"/>
        <w:ind w:left="1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22" w:name="page23"/>
    <w:bookmarkEnd w:id="22"/>
    <w:p>
      <w:pPr>
        <w:jc w:val="both"/>
        <w:ind w:left="1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 and shall, where applicable, also include any direct or indirect subsidiary of the Company formed or acquired after the date hereof.</w:t>
      </w:r>
    </w:p>
    <w:p>
      <w:pPr>
        <w:spacing w:after="0" w:line="16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Common Stock is traded on a Trading Market.</w:t>
      </w:r>
    </w:p>
    <w:p>
      <w:pPr>
        <w:spacing w:after="0" w:line="225"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the New York Stock Exchange (or any successors to any of the foregoing).</w:t>
      </w:r>
    </w:p>
    <w:p>
      <w:pPr>
        <w:spacing w:after="0" w:line="176"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Equiniti Trust Company, LLC, the current transfer agent of the Company, with a mailing address of 48 Wall Street, Floor 23, New York, New York 10005 and an email address of frank.misciagna@equiniti.com, and any successor transfer agent of the Company.</w:t>
      </w:r>
    </w:p>
    <w:p>
      <w:pPr>
        <w:spacing w:after="0" w:line="176" w:lineRule="exact"/>
        <w:rPr>
          <w:sz w:val="20"/>
          <w:szCs w:val="20"/>
          <w:color w:val="auto"/>
        </w:rPr>
      </w:pPr>
    </w:p>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94" w:lineRule="exact"/>
        <w:rPr>
          <w:sz w:val="20"/>
          <w:szCs w:val="20"/>
          <w:color w:val="auto"/>
        </w:rPr>
      </w:pPr>
    </w:p>
    <w:p>
      <w:pPr>
        <w:jc w:val="both"/>
        <w:ind w:left="1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means this Warrant and other Common Warrants (as defined in the Purchase Agreement) issued by the Company pursuant to the Purchase Agreement.</w:t>
      </w:r>
    </w:p>
    <w:p>
      <w:pPr>
        <w:spacing w:after="0" w:line="16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23" w:name="page24"/>
    <w:bookmarkEnd w:id="23"/>
    <w:p>
      <w:pPr>
        <w:ind w:left="66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2" w:lineRule="auto"/>
        <w:tabs>
          <w:tab w:leader="none" w:pos="83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 w:cs="Times New Roman" w:eastAsia="Times New Roman" w:hAnsi="Times New Roman"/>
          <w:sz w:val="18"/>
          <w:szCs w:val="18"/>
          <w:b w:val="1"/>
          <w:bCs w:val="1"/>
          <w:color w:val="auto"/>
        </w:rPr>
        <w:t>The Holder and any assignee, by acceptance of this 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194" w:lineRule="exact"/>
        <w:rPr>
          <w:rFonts w:ascii="Times New Roman" w:cs="Times New Roman" w:eastAsia="Times New Roman" w:hAnsi="Times New Roman"/>
          <w:sz w:val="18"/>
          <w:szCs w:val="18"/>
          <w:color w:val="auto"/>
        </w:rPr>
      </w:pPr>
    </w:p>
    <w:p>
      <w:pPr>
        <w:ind w:right="20" w:firstLine="656"/>
        <w:spacing w:after="0" w:line="282" w:lineRule="auto"/>
        <w:tabs>
          <w:tab w:leader="none" w:pos="84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of Common Stock under this Warrant shall be equal to the Per Share Purchase Price (as defined in the Purchase Agreement),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83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the time of exercise hereof there is no effective registration statement registering, or the prospectus contained therein is not available for the issuance of the Warrant Shares to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179" w:lineRule="exact"/>
        <w:rPr>
          <w:rFonts w:ascii="Times New Roman" w:cs="Times New Roman" w:eastAsia="Times New Roman" w:hAnsi="Times New Roman"/>
          <w:sz w:val="18"/>
          <w:szCs w:val="18"/>
          <w:color w:val="auto"/>
        </w:rPr>
      </w:pPr>
    </w:p>
    <w:p>
      <w:pPr>
        <w:jc w:val="both"/>
        <w:ind w:firstLine="8"/>
        <w:spacing w:after="0" w:line="254" w:lineRule="auto"/>
        <w:tabs>
          <w:tab w:leader="none" w:pos="29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on the Trading Day immediately preceding the date of the applicable Notice of Exercise if such Notice of Exercise is (1) delivered pursuant to Section 2(a) hereof on a day that is not a Trading Day or (2) delivered pursuant to Section 2(a) hereof on a Trading Day prior to the opening of “regular trading hours” (as defined in Rule 600(b) of Regulation NMS promulgated under the federal securities laws) on such Trading Day, (ii) the highest Bid Price of the Common Stock on the principal Trading Market as reported by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within two (2) hours of the time of the Holder’s delivery of the Notice of Exercise pursuant to Section 2(a) hereof if such Notice of Exercise is delivered during “regular trading hours,” or within two (2) hours after the close of “regular trading hours,” on a Trading Day or (iii) the VWAP on the date of the applicable Notice of Exercise if the date of such Notice of Exercise is a Trading Day and such Notice of Exercise is delivered pursuant to Section 2(a) hereof after two (2) hours following the close of “regular trading hours” on such Trading Day;</w:t>
      </w:r>
    </w:p>
    <w:p>
      <w:pPr>
        <w:spacing w:after="0" w:line="19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Warrant, as adjusted hereunder; and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p>
      <w:pPr>
        <w:ind w:right="480" w:firstLine="8"/>
        <w:spacing w:after="0" w:line="282" w:lineRule="auto"/>
        <w:tabs>
          <w:tab w:leader="none" w:pos="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the number of Warrant Shares that would be issuable upon exercise of this Warrant in accordance with the terms of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Warrant if such exercise were by means of a cash exercise rather than a cashless exercise.</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w:t>
      </w:r>
    </w:p>
    <w:p>
      <w:pPr>
        <w:spacing w:after="0" w:line="27" w:lineRule="exact"/>
        <w:rPr>
          <w:sz w:val="20"/>
          <w:szCs w:val="20"/>
          <w:color w:val="auto"/>
        </w:rPr>
      </w:pPr>
    </w:p>
    <w:p>
      <w:pPr>
        <w:jc w:val="both"/>
        <w:ind w:left="1300" w:firstLine="4"/>
        <w:spacing w:after="0" w:line="255" w:lineRule="auto"/>
        <w:tabs>
          <w:tab w:leader="none" w:pos="156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Securities Act, the Warrant Shares shall take on the characteristics of the Warrants being exercised, and the holding period of the Warrant Shares being issued may be tacked on to the holding period of this Warrant. The Company agrees not to take any position contrary to this Section 2(c).</w:t>
      </w:r>
    </w:p>
    <w:p>
      <w:pPr>
        <w:spacing w:after="0" w:line="186" w:lineRule="exact"/>
        <w:rPr>
          <w:sz w:val="20"/>
          <w:szCs w:val="20"/>
          <w:color w:val="auto"/>
        </w:rPr>
      </w:pPr>
    </w:p>
    <w:p>
      <w:pPr>
        <w:ind w:left="1300" w:firstLine="648"/>
        <w:spacing w:after="0" w:line="282" w:lineRule="auto"/>
        <w:rPr>
          <w:sz w:val="20"/>
          <w:szCs w:val="20"/>
          <w:color w:val="auto"/>
        </w:rPr>
      </w:pPr>
      <w:r>
        <w:rPr>
          <w:rFonts w:ascii="Times New Roman" w:cs="Times New Roman" w:eastAsia="Times New Roman" w:hAnsi="Times New Roman"/>
          <w:sz w:val="18"/>
          <w:szCs w:val="18"/>
          <w:color w:val="auto"/>
        </w:rPr>
        <w:t>Notwithstanding anything herein to the contrary, on the Termination Date, this Warrant shall be automatically exercised via cashless exercise pursuant to this Section 2(c).</w:t>
      </w:r>
    </w:p>
    <w:p>
      <w:pPr>
        <w:spacing w:after="0" w:line="162" w:lineRule="exact"/>
        <w:rPr>
          <w:sz w:val="20"/>
          <w:szCs w:val="20"/>
          <w:color w:val="auto"/>
        </w:rPr>
      </w:pPr>
    </w:p>
    <w:p>
      <w:pPr>
        <w:ind w:left="200" w:hanging="192"/>
        <w:spacing w:after="0"/>
        <w:tabs>
          <w:tab w:leader="none" w:pos="2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the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25" w:name="page26"/>
    <w:bookmarkEnd w:id="25"/>
    <w:p>
      <w:pPr>
        <w:jc w:val="both"/>
        <w:ind w:firstLine="656"/>
        <w:spacing w:after="0" w:line="266" w:lineRule="auto"/>
        <w:tabs>
          <w:tab w:leader="none" w:pos="83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8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then the Holder will have the right to rescind such exercise.</w:t>
      </w:r>
    </w:p>
    <w:p>
      <w:pPr>
        <w:spacing w:after="0" w:line="161" w:lineRule="exact"/>
        <w:rPr>
          <w:rFonts w:ascii="Times New Roman" w:cs="Times New Roman" w:eastAsia="Times New Roman" w:hAnsi="Times New Roman"/>
          <w:sz w:val="18"/>
          <w:szCs w:val="18"/>
          <w:color w:val="auto"/>
        </w:rPr>
      </w:pPr>
    </w:p>
    <w:p>
      <w:pPr>
        <w:jc w:val="both"/>
        <w:ind w:firstLine="656"/>
        <w:spacing w:after="0" w:line="252" w:lineRule="auto"/>
        <w:tabs>
          <w:tab w:leader="none" w:pos="86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93" w:lineRule="exact"/>
        <w:rPr>
          <w:rFonts w:ascii="Times New Roman" w:cs="Times New Roman" w:eastAsia="Times New Roman" w:hAnsi="Times New Roman"/>
          <w:sz w:val="18"/>
          <w:szCs w:val="18"/>
          <w:color w:val="auto"/>
        </w:rPr>
      </w:pPr>
    </w:p>
    <w:p>
      <w:pPr>
        <w:jc w:val="both"/>
        <w:ind w:firstLine="656"/>
        <w:spacing w:after="0" w:line="266" w:lineRule="auto"/>
        <w:tabs>
          <w:tab w:leader="none" w:pos="81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89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6" w:name="page27"/>
    <w:bookmarkEnd w:id="26"/>
    <w:p>
      <w:pPr>
        <w:ind w:firstLine="656"/>
        <w:spacing w:after="0" w:line="282" w:lineRule="auto"/>
        <w:tabs>
          <w:tab w:leader="none" w:pos="94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162" w:lineRule="exact"/>
        <w:rPr>
          <w:sz w:val="20"/>
          <w:szCs w:val="20"/>
          <w:color w:val="auto"/>
        </w:rPr>
      </w:pPr>
    </w:p>
    <w:p>
      <w:pPr>
        <w:jc w:val="both"/>
        <w:ind w:firstLine="656"/>
        <w:spacing w:after="0" w:line="251" w:lineRule="auto"/>
        <w:tabs>
          <w:tab w:leader="none" w:pos="83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 (or, upon election by a Holder prior to the issuance of any Warrants, 9.99%) of the number of shares of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w:t>
      </w:r>
    </w:p>
    <w:p>
      <w:pPr>
        <w:spacing w:after="0" w:line="4"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and the provisions of this Section 2(e) shall continue to apply. Any increase in the Beneficial Ownership Limitation will not be effective until the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3" w:lineRule="auto"/>
        <w:tabs>
          <w:tab w:leader="none" w:pos="84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91" w:lineRule="exact"/>
        <w:rPr>
          <w:rFonts w:ascii="Times New Roman" w:cs="Times New Roman" w:eastAsia="Times New Roman" w:hAnsi="Times New Roman"/>
          <w:sz w:val="18"/>
          <w:szCs w:val="18"/>
          <w:color w:val="auto"/>
        </w:rPr>
      </w:pPr>
    </w:p>
    <w:p>
      <w:pPr>
        <w:jc w:val="both"/>
        <w:ind w:firstLine="656"/>
        <w:spacing w:after="0" w:line="253" w:lineRule="auto"/>
        <w:tabs>
          <w:tab w:leader="none" w:pos="84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91" w:lineRule="exact"/>
        <w:rPr>
          <w:rFonts w:ascii="Times New Roman" w:cs="Times New Roman" w:eastAsia="Times New Roman" w:hAnsi="Times New Roman"/>
          <w:sz w:val="18"/>
          <w:szCs w:val="18"/>
          <w:color w:val="auto"/>
        </w:rPr>
      </w:pPr>
    </w:p>
    <w:p>
      <w:pPr>
        <w:jc w:val="both"/>
        <w:ind w:firstLine="656"/>
        <w:spacing w:after="0" w:line="252" w:lineRule="auto"/>
        <w:tabs>
          <w:tab w:leader="none" w:pos="83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To the extent that this Warrant has not been partially or completely exercised at the time of such Distribution, such portion of the Distribution shall be held in abeyance for the benefit of the Holder until the Holder has exercised this Warrant.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 w:name="page29"/>
    <w:bookmarkEnd w:id="28"/>
    <w:p>
      <w:pPr>
        <w:jc w:val="both"/>
        <w:ind w:firstLine="656"/>
        <w:spacing w:after="0" w:line="253" w:lineRule="auto"/>
        <w:tabs>
          <w:tab w:leader="none" w:pos="85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outstanding Common Stock or greater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w:t>
      </w:r>
    </w:p>
    <w:p>
      <w:pPr>
        <w:jc w:val="both"/>
        <w:ind w:firstLine="8"/>
        <w:spacing w:after="0" w:line="250" w:lineRule="auto"/>
        <w:tabs>
          <w:tab w:leader="none" w:pos="2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shares of Common Stock or greater than 50% of the voting power of the common equity of the Company (each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xml:space="preserve">”)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holders of Common Stock of the Company are not offered or paid any consideration in such Fundamental Transaction, such holders of Common Stock will be deemed to have received common stock of the Successor Entity (which Successor Entity may be the Company following such Fundamental Transaction) in such Fundamental Transaction. “</w:t>
      </w:r>
      <w:r>
        <w:rPr>
          <w:rFonts w:ascii="Times New Roman" w:cs="Times New Roman" w:eastAsia="Times New Roman" w:hAnsi="Times New Roman"/>
          <w:sz w:val="18"/>
          <w:szCs w:val="18"/>
          <w:u w:val="single" w:color="auto"/>
          <w:color w:val="auto"/>
        </w:rPr>
        <w:t>Black Scholes Value</w:t>
      </w:r>
      <w:r>
        <w:rPr>
          <w:rFonts w:ascii="Times New Roman" w:cs="Times New Roman" w:eastAsia="Times New Roman" w:hAnsi="Times New Roman"/>
          <w:sz w:val="18"/>
          <w:szCs w:val="18"/>
          <w:color w:val="auto"/>
        </w:rPr>
        <w:t>” means the value of this Warrant based on the Black-Scholes Option Pricing Model obtained from the “OV” function on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greater of (1) the 30 day volatility, (2) the 100 day volatility or (3) the 365 day volatility, each of clauses (1)-(3) as obtained from the HVT function on Bloomberg (determined utilizing a 365 day annualization factor) as of the Trading Day immediately following the public announcement of the applicable contemplated Fundamental Transaction, (C) the underlying price per share used in such calculation shall be the greater of (i) the sum of the price per share being offered in cash, if any, plus the value of any non-cash consideration, if any, being offered in such Fundamental Transaction and (ii) the VWAP immediately preceding the public announcement of the applicable contemplated Fundamental Transaction (or the consummation of the applicable Fundamental Transaction, if earlier),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and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3(d) regardless of (i) whether the Company has sufficient authorized shares of Common Stock for the issuance of Warrant Shares and/or (ii) whether a Fundamental Transaction occurs prior to the Initial Exercise Date.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149" w:gutter="0" w:footer="0" w:header="0"/>
        </w:sectPr>
      </w:pPr>
    </w:p>
    <w:bookmarkStart w:id="29" w:name="page30"/>
    <w:bookmarkEnd w:id="29"/>
    <w:p>
      <w:pPr>
        <w:jc w:val="both"/>
        <w:ind w:firstLine="656"/>
        <w:spacing w:after="0" w:line="266" w:lineRule="auto"/>
        <w:tabs>
          <w:tab w:leader="none" w:pos="83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926"/>
        <w:spacing w:after="0" w:line="266" w:lineRule="auto"/>
        <w:tabs>
          <w:tab w:leader="none" w:pos="107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175" w:lineRule="exact"/>
        <w:rPr>
          <w:rFonts w:ascii="Times New Roman" w:cs="Times New Roman" w:eastAsia="Times New Roman" w:hAnsi="Times New Roman"/>
          <w:sz w:val="18"/>
          <w:szCs w:val="18"/>
          <w:color w:val="auto"/>
        </w:rPr>
      </w:pPr>
    </w:p>
    <w:p>
      <w:pPr>
        <w:jc w:val="both"/>
        <w:ind w:firstLine="926"/>
        <w:spacing w:after="0" w:line="252" w:lineRule="auto"/>
        <w:tabs>
          <w:tab w:leader="none" w:pos="112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91" w:lineRule="exact"/>
        <w:rPr>
          <w:rFonts w:ascii="Times New Roman" w:cs="Times New Roman" w:eastAsia="Times New Roman" w:hAnsi="Times New Roman"/>
          <w:sz w:val="18"/>
          <w:szCs w:val="18"/>
          <w:color w:val="auto"/>
        </w:rPr>
      </w:pPr>
    </w:p>
    <w:p>
      <w:pPr>
        <w:jc w:val="both"/>
        <w:ind w:firstLine="656"/>
        <w:spacing w:after="0" w:line="266" w:lineRule="auto"/>
        <w:tabs>
          <w:tab w:leader="none" w:pos="84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Adjustment By Company</w:t>
      </w:r>
      <w:r>
        <w:rPr>
          <w:rFonts w:ascii="Times New Roman" w:cs="Times New Roman" w:eastAsia="Times New Roman" w:hAnsi="Times New Roman"/>
          <w:sz w:val="18"/>
          <w:szCs w:val="18"/>
          <w:color w:val="auto"/>
        </w:rPr>
        <w:t>. Subject to the rules and regulations of the Trading Market, the Company may at any time during the term of this Warrant reduce the then current Exercise Price to any amount and for any period of time deemed appropriate by the board of directors of the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0" w:name="page31"/>
    <w:bookmarkEnd w:id="30"/>
    <w:p>
      <w:pPr>
        <w:ind w:left="660"/>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3" w:lineRule="auto"/>
        <w:tabs>
          <w:tab w:leader="none" w:pos="83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94" w:lineRule="exact"/>
        <w:rPr>
          <w:rFonts w:ascii="Times New Roman" w:cs="Times New Roman" w:eastAsia="Times New Roman" w:hAnsi="Times New Roman"/>
          <w:sz w:val="18"/>
          <w:szCs w:val="18"/>
          <w:color w:val="auto"/>
        </w:rPr>
      </w:pPr>
    </w:p>
    <w:p>
      <w:pPr>
        <w:jc w:val="both"/>
        <w:ind w:firstLine="656"/>
        <w:spacing w:after="0" w:line="256" w:lineRule="auto"/>
        <w:tabs>
          <w:tab w:leader="none" w:pos="84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84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61" w:lineRule="auto"/>
        <w:tabs>
          <w:tab w:leader="none" w:pos="84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87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84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1" w:name="page32"/>
    <w:bookmarkEnd w:id="31"/>
    <w:p>
      <w:pPr>
        <w:ind w:left="204" w:hanging="204"/>
        <w:spacing w:after="0"/>
        <w:tabs>
          <w:tab w:leader="none" w:pos="20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624" w:firstLine="648"/>
        <w:spacing w:after="0" w:line="269" w:lineRule="auto"/>
        <w:rPr>
          <w:sz w:val="20"/>
          <w:szCs w:val="20"/>
          <w:color w:val="auto"/>
        </w:rPr>
      </w:pPr>
      <w:r>
        <w:rPr>
          <w:rFonts w:ascii="Times New Roman" w:cs="Times New Roman" w:eastAsia="Times New Roman" w:hAnsi="Times New Roman"/>
          <w:sz w:val="17"/>
          <w:szCs w:val="17"/>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82" w:lineRule="exact"/>
        <w:rPr>
          <w:sz w:val="20"/>
          <w:szCs w:val="20"/>
          <w:color w:val="auto"/>
        </w:rPr>
      </w:pPr>
    </w:p>
    <w:p>
      <w:pPr>
        <w:jc w:val="both"/>
        <w:ind w:left="1624" w:firstLine="648"/>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92" w:lineRule="exact"/>
        <w:rPr>
          <w:sz w:val="20"/>
          <w:szCs w:val="20"/>
          <w:color w:val="auto"/>
        </w:rPr>
      </w:pPr>
    </w:p>
    <w:p>
      <w:pPr>
        <w:jc w:val="both"/>
        <w:ind w:left="1624"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32" w:name="page33"/>
    <w:bookmarkEnd w:id="32"/>
    <w:p>
      <w:pPr>
        <w:jc w:val="both"/>
        <w:ind w:firstLine="656"/>
        <w:spacing w:after="0" w:line="252" w:lineRule="auto"/>
        <w:tabs>
          <w:tab w:leader="none" w:pos="84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this Warrant shall be governed by and construed and enforced in accordance with the internal laws of the State of Delaware, without regard to the principles of conflicts of law thereof. Each party agrees that all legal proceedings concerning the interpretations, enforcement and defense of the transactions contemplated by this Warrant (whether brought against a party hereto or their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spacing w:after="0" w:line="197" w:lineRule="exact"/>
        <w:rPr>
          <w:rFonts w:ascii="Times New Roman" w:cs="Times New Roman" w:eastAsia="Times New Roman" w:hAnsi="Times New Roman"/>
          <w:sz w:val="18"/>
          <w:szCs w:val="18"/>
          <w:color w:val="auto"/>
        </w:rPr>
      </w:pPr>
    </w:p>
    <w:p>
      <w:pPr>
        <w:ind w:firstLine="656"/>
        <w:spacing w:after="0" w:line="282" w:lineRule="auto"/>
        <w:tabs>
          <w:tab w:leader="none" w:pos="81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84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7" w:lineRule="exact"/>
        <w:rPr>
          <w:rFonts w:ascii="Times New Roman" w:cs="Times New Roman" w:eastAsia="Times New Roman" w:hAnsi="Times New Roman"/>
          <w:sz w:val="18"/>
          <w:szCs w:val="18"/>
          <w:color w:val="auto"/>
        </w:rPr>
      </w:pPr>
    </w:p>
    <w:p>
      <w:pPr>
        <w:jc w:val="both"/>
        <w:ind w:firstLine="656"/>
        <w:spacing w:after="0" w:line="253" w:lineRule="auto"/>
        <w:tabs>
          <w:tab w:leader="none" w:pos="84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2929 N Commerce Parkway, Miramar, FL 33025, Attention: Rebecca Byam, Chief Financial Officer, email address: RebeccaByam@hcwbiologics.com, for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 To the extent that any notice provided hereunder constitutes, or contains, material, non-public information regarding the Company or any Subsidiaries, the Company shall simultaneously file such notice with the Commission pursuant to a Current Report on Form 8-K.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3" w:name="page34"/>
    <w:bookmarkEnd w:id="33"/>
    <w:p>
      <w:pPr>
        <w:jc w:val="both"/>
        <w:ind w:firstLine="656"/>
        <w:spacing w:after="0" w:line="266" w:lineRule="auto"/>
        <w:tabs>
          <w:tab w:leader="none" w:pos="80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81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84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79" w:lineRule="exact"/>
        <w:rPr>
          <w:rFonts w:ascii="Times New Roman" w:cs="Times New Roman" w:eastAsia="Times New Roman" w:hAnsi="Times New Roman"/>
          <w:sz w:val="18"/>
          <w:szCs w:val="18"/>
          <w:color w:val="auto"/>
        </w:rPr>
      </w:pPr>
    </w:p>
    <w:p>
      <w:pPr>
        <w:ind w:right="20" w:firstLine="656"/>
        <w:spacing w:after="0" w:line="282" w:lineRule="auto"/>
        <w:tabs>
          <w:tab w:leader="none" w:pos="83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Other than Section 2(e) above and this Section 5(l), which may not be amended, modified or waived, this Warrant may be modified or amended or the provisions hereof waived with the written consent of the Company, on the one hand, and the Holder, on the other hand.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5" w:lineRule="exact"/>
        <w:rPr>
          <w:rFonts w:ascii="Times New Roman" w:cs="Times New Roman" w:eastAsia="Times New Roman" w:hAnsi="Times New Roman"/>
          <w:sz w:val="18"/>
          <w:szCs w:val="18"/>
          <w:color w:val="auto"/>
        </w:rPr>
      </w:pPr>
    </w:p>
    <w:p>
      <w:pPr>
        <w:ind w:left="860" w:hanging="204"/>
        <w:spacing w:after="0"/>
        <w:tabs>
          <w:tab w:leader="none" w:pos="8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color w:val="auto"/>
        </w:rPr>
        <w:t>IN WITNESS WHEREOF, the Company has caused this Warrant to be executed by its officer thereunto duly authorized as of the date first above indicated.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HCW BIOLOGICS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-121920</wp:posOffset>
            </wp:positionV>
            <wp:extent cx="32061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HCW BIOLOGICS INC.</w:t>
      </w:r>
    </w:p>
    <w:p>
      <w:pPr>
        <w:spacing w:after="0" w:line="225" w:lineRule="exact"/>
        <w:rPr>
          <w:sz w:val="20"/>
          <w:szCs w:val="20"/>
          <w:color w:val="auto"/>
        </w:rPr>
      </w:pPr>
    </w:p>
    <w:p>
      <w:pPr>
        <w:ind w:firstLine="1304"/>
        <w:spacing w:after="0" w:line="282" w:lineRule="auto"/>
        <w:tabs>
          <w:tab w:leader="none" w:pos="155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  ] in lawful money of the United States; or</w:t>
      </w:r>
    </w:p>
    <w:p>
      <w:pPr>
        <w:spacing w:after="0" w:line="225" w:lineRule="exact"/>
        <w:rPr>
          <w:sz w:val="20"/>
          <w:szCs w:val="20"/>
          <w:color w:val="auto"/>
        </w:rPr>
      </w:pPr>
    </w:p>
    <w:p>
      <w:pPr>
        <w:jc w:val="both"/>
        <w:ind w:left="3580" w:hanging="8"/>
        <w:spacing w:after="0" w:line="266" w:lineRule="auto"/>
        <w:tabs>
          <w:tab w:leader="none" w:pos="3913"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 _________________________________________________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________________________________________________________________________________________</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6" w:name="page37"/>
    <w:bookmarkEnd w:id="36"/>
    <w:p>
      <w:pPr>
        <w:ind w:left="4680"/>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7" w:lineRule="exact"/>
        <w:rPr>
          <w:sz w:val="20"/>
          <w:szCs w:val="20"/>
          <w:color w:val="auto"/>
        </w:rPr>
      </w:pPr>
    </w:p>
    <w:p>
      <w:pPr>
        <w:ind w:left="300" w:right="679"/>
        <w:spacing w:after="0" w:line="517" w:lineRule="auto"/>
        <w:rPr>
          <w:sz w:val="20"/>
          <w:szCs w:val="20"/>
          <w:color w:val="auto"/>
        </w:rPr>
      </w:pPr>
      <w:r>
        <w:rPr>
          <w:rFonts w:ascii="Times New Roman" w:cs="Times New Roman" w:eastAsia="Times New Roman" w:hAnsi="Times New Roman"/>
          <w:sz w:val="18"/>
          <w:szCs w:val="18"/>
          <w:i w:val="1"/>
          <w:iCs w:val="1"/>
          <w:color w:val="auto"/>
        </w:rPr>
        <w:t xml:space="preserve">(To assign the foregoing Warrant, execute this form and supply required information. Do not use this form to purchase shares.) </w:t>
      </w: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(Please Print)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3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(Please Print)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401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401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 __, ______</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w:t>
      </w:r>
    </w:p>
    <w:p>
      <w:pPr>
        <w:spacing w:after="0" w:line="25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99"/>
          </w:cols>
          <w:pgMar w:left="360" w:top="657" w:right="1440"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SECURITIES PURCHASE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and made effective as of May 21, 2026, by and among HCW Biologics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each purchaser identified on the signature pages hereto (each, including its successors and assigns, a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Purchasers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Agreement and pursuant to an exemption from the registration requirements of Section 5 of the Securities Act contained in Section 4(a)(2) thereof and/or Rule 506(b) of Regulation D thereunder, the Company desires to issue and sell to each Purchaser, and each Purchaser, severally and not jointly, desires to purchase from the Company, shares of the Company’s common stock, par value $0.0001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and other securities of the Company as more fully described in this Agreement;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the Company desires to sell to each Purchaser, and each Purchaser, severally and not jointly, desires to purchase from the Company, shares of Common Stock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and, in lieu of Shares that would otherwise result in such Purchaser’s beneficial ownership exceeding 4.99% of the number of shares of Common Stock outstanding immediately after giving effect to the issuance of such shares, pre-funded warrants to purchase shares of Common Stock (the “</w:t>
      </w:r>
      <w:r>
        <w:rPr>
          <w:rFonts w:ascii="Times New Roman" w:cs="Times New Roman" w:eastAsia="Times New Roman" w:hAnsi="Times New Roman"/>
          <w:sz w:val="18"/>
          <w:szCs w:val="18"/>
          <w:b w:val="1"/>
          <w:bCs w:val="1"/>
          <w:color w:val="auto"/>
        </w:rPr>
        <w:t>Pre-Funded Warrants</w:t>
      </w:r>
      <w:r>
        <w:rPr>
          <w:rFonts w:ascii="Times New Roman" w:cs="Times New Roman" w:eastAsia="Times New Roman" w:hAnsi="Times New Roman"/>
          <w:sz w:val="18"/>
          <w:szCs w:val="18"/>
          <w:color w:val="auto"/>
        </w:rPr>
        <w:t>” and the shares of Common Stock issuable upon exercise thereof, the “</w:t>
      </w:r>
      <w:r>
        <w:rPr>
          <w:rFonts w:ascii="Times New Roman" w:cs="Times New Roman" w:eastAsia="Times New Roman" w:hAnsi="Times New Roman"/>
          <w:sz w:val="18"/>
          <w:szCs w:val="18"/>
          <w:b w:val="1"/>
          <w:bCs w:val="1"/>
          <w:color w:val="auto"/>
        </w:rPr>
        <w:t>Pre-Funded Warrant Shares”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WHEREAS, the Company desires to sell up to 2,846,975 Shares at a purchase price of $1.28 per Share (the “</w:t>
      </w:r>
      <w:r>
        <w:rPr>
          <w:rFonts w:ascii="Times New Roman" w:cs="Times New Roman" w:eastAsia="Times New Roman" w:hAnsi="Times New Roman"/>
          <w:sz w:val="18"/>
          <w:szCs w:val="18"/>
          <w:b w:val="1"/>
          <w:bCs w:val="1"/>
          <w:color w:val="auto"/>
        </w:rPr>
        <w:t>Per Share Purchase Price</w:t>
      </w:r>
      <w:r>
        <w:rPr>
          <w:rFonts w:ascii="Times New Roman" w:cs="Times New Roman" w:eastAsia="Times New Roman" w:hAnsi="Times New Roman"/>
          <w:sz w:val="18"/>
          <w:szCs w:val="18"/>
          <w:color w:val="auto"/>
        </w:rPr>
        <w:t>”), and Pre-Funded Warrants in lieu of Shares at a purchase price of $1.2799 per Pre-Funded Warrant (equal to the Per Share Purchase Price less $0.0001) (the “</w:t>
      </w:r>
      <w:r>
        <w:rPr>
          <w:rFonts w:ascii="Times New Roman" w:cs="Times New Roman" w:eastAsia="Times New Roman" w:hAnsi="Times New Roman"/>
          <w:sz w:val="18"/>
          <w:szCs w:val="18"/>
          <w:b w:val="1"/>
          <w:bCs w:val="1"/>
          <w:color w:val="auto"/>
        </w:rPr>
        <w:t>Per Pre-Funded Warrant Purchase Price</w:t>
      </w:r>
      <w:r>
        <w:rPr>
          <w:rFonts w:ascii="Times New Roman" w:cs="Times New Roman" w:eastAsia="Times New Roman" w:hAnsi="Times New Roman"/>
          <w:sz w:val="18"/>
          <w:szCs w:val="18"/>
          <w:color w:val="auto"/>
        </w:rPr>
        <w:t>”), to the Purchasers upon the terms and subject to the conditions contained in this Agreement;</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WHEREAS, the Company further desires to issue and sell to each Purchaser, and each Purchaser, severally and not jointly, desires to purchase from the Company, common stock purchase warrants (the “</w:t>
      </w:r>
      <w:r>
        <w:rPr>
          <w:rFonts w:ascii="Times New Roman" w:cs="Times New Roman" w:eastAsia="Times New Roman" w:hAnsi="Times New Roman"/>
          <w:sz w:val="18"/>
          <w:szCs w:val="18"/>
          <w:b w:val="1"/>
          <w:bCs w:val="1"/>
          <w:color w:val="auto"/>
        </w:rPr>
        <w:t>Common Warrants</w:t>
      </w:r>
      <w:r>
        <w:rPr>
          <w:rFonts w:ascii="Times New Roman" w:cs="Times New Roman" w:eastAsia="Times New Roman" w:hAnsi="Times New Roman"/>
          <w:sz w:val="18"/>
          <w:szCs w:val="18"/>
          <w:color w:val="auto"/>
        </w:rPr>
        <w:t>,” and together with the Pre-Funded Warrants,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at a purchase price of $0.125 per share of Common Stock underlying such Common Warrants (the “</w:t>
      </w:r>
      <w:r>
        <w:rPr>
          <w:rFonts w:ascii="Times New Roman" w:cs="Times New Roman" w:eastAsia="Times New Roman" w:hAnsi="Times New Roman"/>
          <w:sz w:val="18"/>
          <w:szCs w:val="18"/>
          <w:b w:val="1"/>
          <w:bCs w:val="1"/>
          <w:color w:val="auto"/>
        </w:rPr>
        <w:t>Per Common Warrant Purchase Price</w:t>
      </w:r>
      <w:r>
        <w:rPr>
          <w:rFonts w:ascii="Times New Roman" w:cs="Times New Roman" w:eastAsia="Times New Roman" w:hAnsi="Times New Roman"/>
          <w:sz w:val="18"/>
          <w:szCs w:val="18"/>
          <w:color w:val="auto"/>
        </w:rPr>
        <w:t>”), exercisable for an aggregate of up to such number of shares of Common Stock (the “</w:t>
      </w:r>
      <w:r>
        <w:rPr>
          <w:rFonts w:ascii="Times New Roman" w:cs="Times New Roman" w:eastAsia="Times New Roman" w:hAnsi="Times New Roman"/>
          <w:sz w:val="18"/>
          <w:szCs w:val="18"/>
          <w:b w:val="1"/>
          <w:bCs w:val="1"/>
          <w:color w:val="auto"/>
        </w:rPr>
        <w:t>Common Warrant Shares</w:t>
      </w:r>
      <w:r>
        <w:rPr>
          <w:rFonts w:ascii="Times New Roman" w:cs="Times New Roman" w:eastAsia="Times New Roman" w:hAnsi="Times New Roman"/>
          <w:sz w:val="18"/>
          <w:szCs w:val="18"/>
          <w:color w:val="auto"/>
        </w:rPr>
        <w:t>” and together with the Pre-Funded Warrant Shares,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equal to 100% of the aggregate number of Shares and Pre-Funded Warrant Shares purchased by such Purchaser hereunder, with an exercise price per share equal to the Per Share Purchase Price, exercisable immediately upon the date of issuance, and expiring on the date that is five and one-half (5.5) years from the date of issuance; and</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each Purchaser desires to purchase, and the Company desires to sell, upon the terms and conditions set forth herein, such number of Shares (or Pre-Funded Warrants in lieu thereof) as specified below such Purchaser’s name on the signature page of this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1.1. Definitions. For the purposes of this Agreement, the following words and phrases have the meanings set forth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Acquiring Person</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Action</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3.1(j)</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8" w:name="page39"/>
    <w:bookmarkEnd w:id="38"/>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shall have the meaning ascribed to such term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Amount</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4.2(b)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BHCA</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3.1(pp)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means the Certificate of Incorporation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to be issued and sold, in each case, have been satisfied or waived, but in no event later than the second Trading Day following the date hereof.</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Price</w:t>
      </w:r>
      <w:r>
        <w:rPr>
          <w:rFonts w:ascii="Times New Roman" w:cs="Times New Roman" w:eastAsia="Times New Roman" w:hAnsi="Times New Roman"/>
          <w:sz w:val="18"/>
          <w:szCs w:val="18"/>
          <w:color w:val="auto"/>
        </w:rPr>
        <w:t>” means, for any security on any Trading Day, (i) the official closing price for such security on the Principal Market, as reported by Bloomberg or, if not available, as reported by The Nasdaq Stock Market LLC (the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(or any successor), or (ii) if no such trade price is available for that Trading Day, the fair market value of such security as determined in good faith by the Board of Directors of the Company.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common stock of the Company, par value $0.0001 per share, and any other class of securities into which such securities may hereafter be reclassified or changed.</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 Equivalents</w:t>
      </w:r>
      <w:r>
        <w:rPr>
          <w:rFonts w:ascii="Times New Roman" w:cs="Times New Roman" w:eastAsia="Times New Roman" w:hAnsi="Times New Roman"/>
          <w:sz w:val="18"/>
          <w:szCs w:val="18"/>
          <w:color w:val="auto"/>
        </w:rPr>
        <w:t>” means any securities of the Company or its Subsidiaries which would entitle the holder thereof to acquire Common Stock at any time, including, without limitation, any debt, preferred stock, right, option, warrant or other instrument that is at any time convertible into or exercisable or exchangeable for, or otherwise entitles the holder thereof to receive, Common Stock.</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Warrants</w:t>
      </w:r>
      <w:r>
        <w:rPr>
          <w:rFonts w:ascii="Times New Roman" w:cs="Times New Roman" w:eastAsia="Times New Roman" w:hAnsi="Times New Roman"/>
          <w:sz w:val="18"/>
          <w:szCs w:val="18"/>
          <w:color w:val="auto"/>
        </w:rPr>
        <w:t>” means, collectively, the Common Stock purchase warrants delivered to the Purchasers at the Closing in accordance with Section 2.3(a) hereof, which Common Warrants shall be exercisable immediately upon issuance, have an exercise price per share equal to the Per Share Purchase Price, and have a term of exercise equal to five and one-half (5.5) years from the date of issuance, in the form of Exhibit C attached hereto.</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Warrant Shares</w:t>
      </w:r>
      <w:r>
        <w:rPr>
          <w:rFonts w:ascii="Times New Roman" w:cs="Times New Roman" w:eastAsia="Times New Roman" w:hAnsi="Times New Roman"/>
          <w:sz w:val="18"/>
          <w:szCs w:val="18"/>
          <w:color w:val="auto"/>
        </w:rPr>
        <w:t>” shall have the meaning ascribed to such term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have the meaning ascribed to such term in the preamble. “</w:t>
      </w:r>
      <w:r>
        <w:rPr>
          <w:rFonts w:ascii="Times New Roman" w:cs="Times New Roman" w:eastAsia="Times New Roman" w:hAnsi="Times New Roman"/>
          <w:sz w:val="18"/>
          <w:szCs w:val="18"/>
          <w:b w:val="1"/>
          <w:bCs w:val="1"/>
          <w:color w:val="auto"/>
        </w:rPr>
        <w:t>Consent</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4.6</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means, collectively, the Pre-Funded Warrant Shares and the Common Warrant Shares.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Disqualification Event</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3.1(ll)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4.1(c)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3.1(m)</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9" w:name="page40"/>
    <w:bookmarkEnd w:id="3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Evaluation Date</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means the Foreign Corrupt Practices Act of 1977,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Federal Reserve</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3.1(pp)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Materials</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3.1(aa)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Closing</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 all of the following in any jurisdiction throughout the world: (a) all inventions (whether patentable or unpatentable and whether or not reduced to practice), all improvements thereto, and all U.S. and foreign patents, patent applications, and patent disclosures, together with all reissuances, continuations, continuations-in-part, revisions, extensions, and reexaminations thereof, (b) all trademarks, service marks, brand names, certification marks, trade dress, logos, trade names, domain names, assumed names and corporate names, together with all colorable imitations thereof, and including all goodwill associated therewith, and all applications, registrations, and renewals in connection therewith, (c) all copyrights, and all applications, registrations, and renewals in connection therewith, (d) all trade secrets under applicable state laws and the common law and know-how (including formulas, techniques, technical data, designs, drawings, specifications, customer and supplier lists, pricing and cost information, and business and marketing plans and proposals), (e) all computer software (including source code, object code, diagrams, data and related documentation), and (f) all copies and tangible embodiments of the foregoing (in whatever form or medium).</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Issuer Covered Person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Issuer Covered Persons</w:t>
      </w:r>
      <w:r>
        <w:rPr>
          <w:rFonts w:ascii="Times New Roman" w:cs="Times New Roman" w:eastAsia="Times New Roman" w:hAnsi="Times New Roman"/>
          <w:sz w:val="18"/>
          <w:szCs w:val="18"/>
          <w:color w:val="auto"/>
        </w:rPr>
        <w:t xml:space="preserve">” shall have the meanings ascribed to such terms in </w:t>
      </w:r>
      <w:r>
        <w:rPr>
          <w:rFonts w:ascii="Times New Roman" w:cs="Times New Roman" w:eastAsia="Times New Roman" w:hAnsi="Times New Roman"/>
          <w:sz w:val="18"/>
          <w:szCs w:val="18"/>
          <w:u w:val="single" w:color="auto"/>
          <w:color w:val="auto"/>
        </w:rPr>
        <w:t>Section 3.1(ll)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means any U.S. federal, state, local, foreign or other laws, rules regulations, guidelines, orders, injunctions, building and other codes, ordinances, permits, licenses, authorizations, judgements, decrees of federal, state, local, foreign or other authorities, and all orders, writs, decrees and consents of any governmental or political subdivision or agency thereof, or any court of similar tribunal established by any such governmental or political subdivision or agency thereof.</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Legend Removal Date</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4.1(c)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Liens</w:t>
      </w:r>
      <w:r>
        <w:rPr>
          <w:rFonts w:ascii="Times New Roman" w:cs="Times New Roman" w:eastAsia="Times New Roman" w:hAnsi="Times New Roman"/>
          <w:sz w:val="18"/>
          <w:szCs w:val="18"/>
          <w:color w:val="auto"/>
        </w:rPr>
        <w:t>” means a lien, charge, pledge, security interest, encumbrance, right of first refusal, preemptive right or other restriction.</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Lock-Up Agreements</w:t>
      </w:r>
      <w:r>
        <w:rPr>
          <w:rFonts w:ascii="Times New Roman" w:cs="Times New Roman" w:eastAsia="Times New Roman" w:hAnsi="Times New Roman"/>
          <w:sz w:val="18"/>
          <w:szCs w:val="18"/>
          <w:color w:val="auto"/>
        </w:rPr>
        <w:t>” means the lock-up agreements, dated as of the date hereof, by and among the Company and each of its directors, executive officers, holders of five percent (5%) or more of the Company’s outstanding Common Stock, and the other Persons set forth on Schedule B hereto, in the form of Exhibit E attached hereto.</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Permits</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Money Laundering Laws</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3.1(qq)</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0" w:name="page41"/>
    <w:bookmarkEnd w:id="40"/>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National Securities Exchange</w:t>
      </w:r>
      <w:r>
        <w:rPr>
          <w:rFonts w:ascii="Times New Roman" w:cs="Times New Roman" w:eastAsia="Times New Roman" w:hAnsi="Times New Roman"/>
          <w:sz w:val="18"/>
          <w:szCs w:val="18"/>
          <w:color w:val="auto"/>
        </w:rPr>
        <w:t>” means any United States national securities exchange on which the securities of the Company are listed for trading, including, but not limited to, The Nasdaq Stock Market LLC, the NYSE American LLC, or the New York Stock Exchange LLC.</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3.1(nn)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means primary market on which the Company’s Common Stock is then listed or quoted for trading, including, without limitation, The New York Stock Exchange, the NYSE American, the Nasdaq Global Select Market, the Nasdaq Global Market, the Nasdaq Capital Market, OTCPink, OTCQB, or OTCQX and any successor markets thereto.</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pending or to the Company’s knowledge, threatened in writing against or affecting the Company, any Subsidiary or any of their respective properties before any court, arbitrator, governmental or administrative agency or regulatory authority.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Information Failure</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4.2(b)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Purchasers</w:t>
      </w:r>
      <w:r>
        <w:rPr>
          <w:rFonts w:ascii="Times New Roman" w:cs="Times New Roman" w:eastAsia="Times New Roman" w:hAnsi="Times New Roman"/>
          <w:sz w:val="18"/>
          <w:szCs w:val="18"/>
          <w:color w:val="auto"/>
        </w:rPr>
        <w:t>” shall have the meanings ascribed thereto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 Party</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shall have the meaning ascribed to such term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xml:space="preserve">” means the registration rights agreement,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shall have the meaning ascribed to such term in Section 1 of the Registration Rights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FD</w:t>
      </w:r>
      <w:r>
        <w:rPr>
          <w:rFonts w:ascii="Times New Roman" w:cs="Times New Roman" w:eastAsia="Times New Roman" w:hAnsi="Times New Roman"/>
          <w:sz w:val="18"/>
          <w:szCs w:val="18"/>
          <w:color w:val="auto"/>
        </w:rPr>
        <w:t>” means Regulation FD promulgated by the SEC pursuant to the Exchange Act, as such Regulation may be amended or interpreted from time to time, or any similar rule or regulation hereafter adopted by the SEC having substantially the same purpose and effect as such Regulation.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Reserved Amount</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Approvals</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means Rule 144 promulgated by the SEC pursuant to the Securities Act, as such Rule may be amended or interpreted from time to time, or any similar rule or regulation hereafter adopted by the SEC (or similar United States law) having substantially the same purpose and effect as such Rule.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 Reports</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Pre-Funded Warrants</w:t>
      </w:r>
      <w:r>
        <w:rPr>
          <w:rFonts w:ascii="Times New Roman" w:cs="Times New Roman" w:eastAsia="Times New Roman" w:hAnsi="Times New Roman"/>
          <w:sz w:val="18"/>
          <w:szCs w:val="18"/>
          <w:color w:val="auto"/>
        </w:rPr>
        <w:t>” shall have the meaning ascribed to such term in Section 2.1(a).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shall have the meaning ascribed to such term in the recitals.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1" w:name="page42"/>
    <w:bookmarkEnd w:id="4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shall have the meaning ascribed to such term in the recitals.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the location and/or reservation of borrowable shares of Common Stock).</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Subscription Amount</w:t>
      </w:r>
      <w:r>
        <w:rPr>
          <w:rFonts w:ascii="Times New Roman" w:cs="Times New Roman" w:eastAsia="Times New Roman" w:hAnsi="Times New Roman"/>
          <w:sz w:val="18"/>
          <w:szCs w:val="18"/>
          <w:color w:val="auto"/>
        </w:rPr>
        <w:t>” means, as to each Purchaser, the aggregate amount to be paid for the Shares (or Pre-Funded Warrants in lieu thereof) purchased hereunder as specified below such Purchaser’s name on the signature page of this Agreement and next to the heading.</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entity at any date, any direct or indirect corporation, limited or general partnership, limited liability company, trust, estate, association, joint venture or other business entity of which (a) more than 50% of (i) the outstanding capital stock having (in the absence of contingencies) ordinary voting power to elect a majority of the board of directors or other managing body of such entity, (ii) in the case of a partnership or limited liability company, the interest in the capital or profits of such partnership or limited liability company or (iii) in the case of a trust, estate, association, joint venture or other entity, the beneficial interest in such trust, estate, association or other entity business is, at the time of determination, owned or controlled directly or indirectly through one or more intermediaries, by such entity, or (b) is under the actual control of the Company.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day on which the Principal Market is open for trading.</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means this Agreement, the Pre-Funded Warrants, the Common Warrants, the Placement Agency Agreement, the Registration Rights Agreement, the Lock-Up Agreements, all schedules and exhibits thereto and hereto and any other documents or agreements executed in connection with the transactions contemplated hereunder.</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means Broadridge Corporate Issuer Solutions LLC, and any successor transfer agent of the Company.</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Principal Market, the daily volume weighted average price of the Common Stock for such date (or the nearest preceding date) on the Principal Market on which the Common Stock is then listed or quoted as reported by Bloomberg L.P. (based on a Trading Day from 9:30 a.m. (New York City time) to 4:02 p.m. (New York City time)) (or a similar organization or agency succeeding to its functions of reporting prices), (b) if no volume weighted average price of the Common Stock can be ascertained from the Principal Market, the average closing price of the Common Stock during the ten (10) Trading Days preceding such date, or (c) in all other cases, the fair market value of a share of Common Stock as determined by the Board of Directors.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 AND SALE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 Sale and Issuance of Shares.</w:t>
      </w:r>
    </w:p>
    <w:p>
      <w:pPr>
        <w:spacing w:after="0" w:line="225" w:lineRule="exact"/>
        <w:rPr>
          <w:sz w:val="20"/>
          <w:szCs w:val="20"/>
          <w:color w:val="auto"/>
        </w:rPr>
      </w:pPr>
    </w:p>
    <w:p>
      <w:pPr>
        <w:ind w:left="1540" w:hanging="236"/>
        <w:spacing w:after="0"/>
        <w:tabs>
          <w:tab w:leader="none" w:pos="1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59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of this Agreement, each Purchaser agrees to purchase at the applicable Closing (as defined below), and the Company agrees to sell and issue to each Purchaser at the applicable Closing, (i) such number of Shares (or Pre-Funded Warrants in lieu thereof) as is set forth on the signature page hereto, and (ii) Common Warrants exercisable for a number of Common Warrant Shares equal to one hundred percent (100%) of the aggregate number of Shares and Pre-Funded Warrant Shares purchased by such Purchaser hereunder. In lieu of Shares that would otherwise result in any Purchaser’s beneficial ownership exceeding 4.99% of the number of shares of Common Stock outstanding immediately after giving effect to the issuance of Shares hereunder (the “</w:t>
      </w:r>
      <w:r>
        <w:rPr>
          <w:rFonts w:ascii="Times New Roman" w:cs="Times New Roman" w:eastAsia="Times New Roman" w:hAnsi="Times New Roman"/>
          <w:sz w:val="18"/>
          <w:szCs w:val="18"/>
          <w:b w:val="1"/>
          <w:bCs w:val="1"/>
          <w:color w:val="auto"/>
        </w:rPr>
        <w:t>Beneficial Ownership Limitation</w:t>
      </w:r>
      <w:r>
        <w:rPr>
          <w:rFonts w:ascii="Times New Roman" w:cs="Times New Roman" w:eastAsia="Times New Roman" w:hAnsi="Times New Roman"/>
          <w:sz w:val="18"/>
          <w:szCs w:val="18"/>
          <w:color w:val="auto"/>
        </w:rPr>
        <w:t>”), such Purchaser shall elect to receive Pre-Funded Warrants. The Shares, the Pre-Funded Warrants, the Common Warrants and the Warrant Shares issued or issuable to the Purchasers pursuant to this Agreement shall be referred to in this Agreement as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2" w:name="page43"/>
    <w:bookmarkEnd w:id="4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initial purchase and sale of the Securities shall take place remotely via the exchange of documents and signatures, at 12:00 p.m., on May 21, 2026, or at such other time and place as the Company and the Purchasers mutually agree upon, orally or in writing (which time and place are designated as the “</w:t>
      </w:r>
      <w:r>
        <w:rPr>
          <w:rFonts w:ascii="Times New Roman" w:cs="Times New Roman" w:eastAsia="Times New Roman" w:hAnsi="Times New Roman"/>
          <w:sz w:val="18"/>
          <w:szCs w:val="18"/>
          <w:b w:val="1"/>
          <w:bCs w:val="1"/>
          <w:color w:val="auto"/>
        </w:rPr>
        <w:t>Initial Closing</w:t>
      </w:r>
      <w:r>
        <w:rPr>
          <w:rFonts w:ascii="Times New Roman" w:cs="Times New Roman" w:eastAsia="Times New Roman" w:hAnsi="Times New Roman"/>
          <w:sz w:val="18"/>
          <w:szCs w:val="18"/>
          <w:color w:val="auto"/>
        </w:rPr>
        <w:t>”). In the event there is more than one closing, the term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shall apply to each such closing unless otherwise specified.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Deliveries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applicable Closing, the Company shall deliver or cause to be delivered to each Purchaser the following:</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the Company;</w:t>
      </w:r>
    </w:p>
    <w:p>
      <w:pPr>
        <w:spacing w:after="0" w:line="22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Pre-Funded Warrants, if any, duly executed by the Company,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Common Warrants, duly executed by the Company,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280" w:hanging="328"/>
        <w:spacing w:after="0"/>
        <w:tabs>
          <w:tab w:leader="none" w:pos="22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wire transfer instructions, on Company letterhead and executed by the Chief Executive Officer or Chief</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Officer;</w:t>
      </w:r>
    </w:p>
    <w:p>
      <w:pPr>
        <w:spacing w:after="0" w:line="206"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21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from counsel to the Company, dated as of the Closing Date, addressed to the Purchasers and in form and substance reasonably satisfactory to the Purchasers, covering such matters as are customary in transactions of this nature, including the due authorization, execution and delivery of the Transaction Documents and the valid issuance of the Securities;</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283"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of an executive officer of the Company, dated as of the Closing Date, certifying that (A) the representations and warranties of the Company in the Transaction Documents are true and correct as of such date (or as of an earlier date if so specified), and (B) the Company has performed all obligations required to be performed as of the Closing Date;</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58" w:lineRule="auto"/>
        <w:tabs>
          <w:tab w:leader="none" w:pos="2336"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Secretary (or Assistant Secretary) of the Company, dated as of the Closing Date, certifying and attaching (A) a true, complete and correct copy of the Company’s Certificate of Incorporation, as amended and in effect on the Closing Date, (B) a true, complete and correct copy of the Company’s Bylaws, as amended and in effect on the Closing Date, (C) the resolutions of the Board of Directors authorizing the execution, delivery, and performance of the Transaction Documents and the issuance of the Securities, and (D) the incumbency and signatures of the officers of the Company executing the Transaction Documents;</w:t>
      </w:r>
    </w:p>
    <w:p>
      <w:pPr>
        <w:spacing w:after="0" w:line="183" w:lineRule="exact"/>
        <w:rPr>
          <w:rFonts w:ascii="Times New Roman" w:cs="Times New Roman" w:eastAsia="Times New Roman" w:hAnsi="Times New Roman"/>
          <w:sz w:val="18"/>
          <w:szCs w:val="18"/>
          <w:color w:val="auto"/>
        </w:rPr>
      </w:pPr>
    </w:p>
    <w:p>
      <w:pPr>
        <w:ind w:left="660" w:firstLine="1292"/>
        <w:spacing w:after="0" w:line="282" w:lineRule="auto"/>
        <w:tabs>
          <w:tab w:leader="none" w:pos="2359"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Chief Financial Officer of the Company, dated as of the Closing Date, certifying as to the Company’s cash and cash equivalents, indebtedness, and any material off-balance sheet or undisclosed liabilities as of the Closing Date;</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27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Good Standing of the Company issued by the Secretary of State of the State of Delaware, dated as of a recent date prior to the Closing Date;</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21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issued in book-entry form, duly credited to each Purchaser’s account at the Company’s transfer agent, free and clear of all liens and encumbrances, other than applicable securities law restrictions;</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Rights Agreement, duly executed by the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3" w:name="page44"/>
    <w:bookmarkEnd w:id="43"/>
    <w:p>
      <w:pPr>
        <w:ind w:firstLine="1292"/>
        <w:spacing w:after="0" w:line="282" w:lineRule="auto"/>
        <w:tabs>
          <w:tab w:leader="none" w:pos="1659"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reservation letter from the Company and its transfer agent, confirming that a sufficient number of shares of Common Stock have been reserved for issuance upon exercise of the Pre-Funded Warrants and the Common Warrants; and</w:t>
      </w:r>
    </w:p>
    <w:p>
      <w:pPr>
        <w:spacing w:after="0" w:line="161" w:lineRule="exact"/>
        <w:rPr>
          <w:rFonts w:ascii="Times New Roman" w:cs="Times New Roman" w:eastAsia="Times New Roman" w:hAnsi="Times New Roman"/>
          <w:sz w:val="18"/>
          <w:szCs w:val="18"/>
          <w:color w:val="auto"/>
        </w:rPr>
      </w:pPr>
    </w:p>
    <w:p>
      <w:pPr>
        <w:jc w:val="both"/>
        <w:ind w:firstLine="1292"/>
        <w:spacing w:after="0" w:line="266" w:lineRule="auto"/>
        <w:tabs>
          <w:tab w:leader="none" w:pos="1723"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Lock-up Agreements each with a duration of six (6) months entered into by the Company’s (a) executive officers; (b) directors; (c) holders of five percent (5%) or more of the Company’s outstanding Common Stock; and (d) each Person set forth on Schedule B hereto substantially in the form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900" w:hanging="256"/>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applicable Closing, each Purchaser shall deliver or cause to be delivered the following:</w:t>
      </w:r>
    </w:p>
    <w:p>
      <w:pPr>
        <w:spacing w:after="0" w:line="225" w:lineRule="exact"/>
        <w:rPr>
          <w:rFonts w:ascii="Times New Roman" w:cs="Times New Roman" w:eastAsia="Times New Roman" w:hAnsi="Times New Roman"/>
          <w:sz w:val="18"/>
          <w:szCs w:val="18"/>
          <w:color w:val="auto"/>
        </w:rPr>
      </w:pPr>
    </w:p>
    <w:p>
      <w:pPr>
        <w:ind w:left="1500" w:hanging="208"/>
        <w:spacing w:after="0"/>
        <w:tabs>
          <w:tab w:leader="none" w:pos="15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this Agreement, duly executed by such Purchaser;</w:t>
      </w:r>
    </w:p>
    <w:p>
      <w:pPr>
        <w:spacing w:after="0" w:line="225" w:lineRule="exact"/>
        <w:rPr>
          <w:rFonts w:ascii="Times New Roman" w:cs="Times New Roman" w:eastAsia="Times New Roman" w:hAnsi="Times New Roman"/>
          <w:sz w:val="18"/>
          <w:szCs w:val="18"/>
          <w:color w:val="auto"/>
        </w:rPr>
      </w:pPr>
    </w:p>
    <w:p>
      <w:pPr>
        <w:ind w:left="1560" w:hanging="268"/>
        <w:spacing w:after="0"/>
        <w:tabs>
          <w:tab w:leader="none" w:pos="15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the Registration Rights Agreement, duly executed by such Purchaser;</w:t>
      </w:r>
    </w:p>
    <w:p>
      <w:pPr>
        <w:spacing w:after="0" w:line="225" w:lineRule="exact"/>
        <w:rPr>
          <w:rFonts w:ascii="Times New Roman" w:cs="Times New Roman" w:eastAsia="Times New Roman" w:hAnsi="Times New Roman"/>
          <w:sz w:val="18"/>
          <w:szCs w:val="18"/>
          <w:color w:val="auto"/>
        </w:rPr>
      </w:pPr>
    </w:p>
    <w:p>
      <w:pPr>
        <w:ind w:firstLine="1292"/>
        <w:spacing w:after="0" w:line="282" w:lineRule="auto"/>
        <w:tabs>
          <w:tab w:leader="none" w:pos="1629"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such Purchaser’s Subscription Amount, by wire transfer of immediately available funds in accordance with the wire instructions provided by the Company, to be held and disbursed in accordance with this Agreement; and</w:t>
      </w:r>
    </w:p>
    <w:p>
      <w:pPr>
        <w:spacing w:after="0" w:line="161" w:lineRule="exact"/>
        <w:rPr>
          <w:rFonts w:ascii="Times New Roman" w:cs="Times New Roman" w:eastAsia="Times New Roman" w:hAnsi="Times New Roman"/>
          <w:sz w:val="18"/>
          <w:szCs w:val="18"/>
          <w:color w:val="auto"/>
        </w:rPr>
      </w:pPr>
    </w:p>
    <w:p>
      <w:pPr>
        <w:ind w:firstLine="1292"/>
        <w:spacing w:after="0" w:line="282" w:lineRule="auto"/>
        <w:tabs>
          <w:tab w:leader="none" w:pos="161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and/or the Placement Agent, such other information, certificates, or documents reasonably requested to consummate the transactions contemplated by this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 The obligations of the Company hereunder in connection with each applicable Closing are subject to the following conditions being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w:t>
      </w:r>
    </w:p>
    <w:p>
      <w:pPr>
        <w:spacing w:after="0" w:line="207" w:lineRule="exact"/>
        <w:rPr>
          <w:sz w:val="20"/>
          <w:szCs w:val="20"/>
          <w:color w:val="auto"/>
        </w:rPr>
      </w:pPr>
    </w:p>
    <w:p>
      <w:pPr>
        <w:jc w:val="both"/>
        <w:ind w:firstLine="1292"/>
        <w:spacing w:after="0" w:line="266" w:lineRule="auto"/>
        <w:tabs>
          <w:tab w:leader="none" w:pos="1526"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on the applicable Closing Date of the representations and warranties of each Purchaser contained herein (unless as of a specific date therein in which case they shall be accurate as of such date);</w:t>
      </w:r>
    </w:p>
    <w:p>
      <w:pPr>
        <w:spacing w:after="0" w:line="175" w:lineRule="exact"/>
        <w:rPr>
          <w:rFonts w:ascii="Times New Roman" w:cs="Times New Roman" w:eastAsia="Times New Roman" w:hAnsi="Times New Roman"/>
          <w:sz w:val="18"/>
          <w:szCs w:val="18"/>
          <w:color w:val="auto"/>
        </w:rPr>
      </w:pPr>
    </w:p>
    <w:p>
      <w:pPr>
        <w:ind w:right="20" w:firstLine="1292"/>
        <w:spacing w:after="0" w:line="282" w:lineRule="auto"/>
        <w:tabs>
          <w:tab w:leader="none" w:pos="157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each Purchaser required to be performed at or prior to the Closing Date shall have been performed in all material respects; and</w:t>
      </w:r>
    </w:p>
    <w:p>
      <w:pPr>
        <w:spacing w:after="0" w:line="161" w:lineRule="exact"/>
        <w:rPr>
          <w:rFonts w:ascii="Times New Roman" w:cs="Times New Roman" w:eastAsia="Times New Roman" w:hAnsi="Times New Roman"/>
          <w:sz w:val="18"/>
          <w:szCs w:val="18"/>
          <w:color w:val="auto"/>
        </w:rPr>
      </w:pPr>
    </w:p>
    <w:p>
      <w:pPr>
        <w:ind w:left="1600" w:hanging="308"/>
        <w:spacing w:after="0"/>
        <w:tabs>
          <w:tab w:leader="none" w:pos="16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delivery by each Purchaser of the items set forth in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xml:space="preserve"> of this Agreement.</w:t>
      </w:r>
    </w:p>
    <w:p>
      <w:pPr>
        <w:spacing w:after="0" w:line="225" w:lineRule="exact"/>
        <w:rPr>
          <w:rFonts w:ascii="Times New Roman" w:cs="Times New Roman" w:eastAsia="Times New Roman" w:hAnsi="Times New Roman"/>
          <w:sz w:val="18"/>
          <w:szCs w:val="18"/>
          <w:color w:val="auto"/>
        </w:rPr>
      </w:pPr>
    </w:p>
    <w:p>
      <w:pPr>
        <w:ind w:left="900" w:hanging="256"/>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obligations of the Purchasers hereunder in connection with the Closing are subject to the following conditions being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w:t>
      </w:r>
    </w:p>
    <w:p>
      <w:pPr>
        <w:spacing w:after="0" w:line="206" w:lineRule="exact"/>
        <w:rPr>
          <w:rFonts w:ascii="Times New Roman" w:cs="Times New Roman" w:eastAsia="Times New Roman" w:hAnsi="Times New Roman"/>
          <w:sz w:val="18"/>
          <w:szCs w:val="18"/>
          <w:color w:val="auto"/>
        </w:rPr>
      </w:pPr>
    </w:p>
    <w:p>
      <w:pPr>
        <w:jc w:val="both"/>
        <w:ind w:firstLine="1292"/>
        <w:spacing w:after="0" w:line="266" w:lineRule="auto"/>
        <w:tabs>
          <w:tab w:leader="none" w:pos="152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as of such date);</w:t>
      </w:r>
    </w:p>
    <w:p>
      <w:pPr>
        <w:spacing w:after="0" w:line="175" w:lineRule="exact"/>
        <w:rPr>
          <w:rFonts w:ascii="Times New Roman" w:cs="Times New Roman" w:eastAsia="Times New Roman" w:hAnsi="Times New Roman"/>
          <w:sz w:val="18"/>
          <w:szCs w:val="18"/>
          <w:color w:val="auto"/>
        </w:rPr>
      </w:pPr>
    </w:p>
    <w:p>
      <w:pPr>
        <w:ind w:left="1560" w:hanging="268"/>
        <w:spacing w:after="0"/>
        <w:tabs>
          <w:tab w:leader="none" w:pos="156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obligations, covenants and agreements of the Company required to be performed at or prior to the Closing Date shall have</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been performed;</w:t>
      </w:r>
    </w:p>
    <w:p>
      <w:pPr>
        <w:spacing w:after="0" w:line="206" w:lineRule="exact"/>
        <w:rPr>
          <w:rFonts w:ascii="Times New Roman" w:cs="Times New Roman" w:eastAsia="Times New Roman" w:hAnsi="Times New Roman"/>
          <w:sz w:val="17"/>
          <w:szCs w:val="17"/>
          <w:color w:val="auto"/>
        </w:rPr>
      </w:pPr>
    </w:p>
    <w:p>
      <w:pPr>
        <w:ind w:left="1600" w:hanging="308"/>
        <w:spacing w:after="0"/>
        <w:tabs>
          <w:tab w:leader="none" w:pos="16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delivery by the Company of the items set forth in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xml:space="preserve"> of this Agreement;</w:t>
      </w:r>
    </w:p>
    <w:p>
      <w:pPr>
        <w:spacing w:after="0" w:line="225" w:lineRule="exact"/>
        <w:rPr>
          <w:rFonts w:ascii="Times New Roman" w:cs="Times New Roman" w:eastAsia="Times New Roman" w:hAnsi="Times New Roman"/>
          <w:sz w:val="18"/>
          <w:szCs w:val="18"/>
          <w:color w:val="auto"/>
        </w:rPr>
      </w:pPr>
    </w:p>
    <w:p>
      <w:pPr>
        <w:ind w:left="1600" w:hanging="308"/>
        <w:spacing w:after="0"/>
        <w:tabs>
          <w:tab w:leader="none" w:pos="16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 since the date hereof;</w:t>
      </w:r>
    </w:p>
    <w:p>
      <w:pPr>
        <w:spacing w:after="0" w:line="22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44" w:name="page45"/>
    <w:bookmarkEnd w:id="44"/>
    <w:p>
      <w:pPr>
        <w:jc w:val="both"/>
        <w:ind w:left="660" w:firstLine="1292"/>
        <w:spacing w:after="0" w:line="255" w:lineRule="auto"/>
        <w:tabs>
          <w:tab w:leader="none" w:pos="222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to the Closing Date trading in the Common Stock shall not have been suspended by the SEC or the Company’s Principal Market, and, at any time prior to the Closing Date, trading in securities generally as reported by Bloomberg L.P. shall not have been suspended or limited, or minimum prices shall not have been established on securities whose trades are reported by such service, or on any Principal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xml:space="preserve">. The Company hereby represents and warrants to each Purchaser that, except as set forth on the Disclosure Schedule to this Agreement, which exceptions shall be deemed to be part of the representations and warranties made hereunder, the following representations are true and complete as of the date of the Initial Closing, except as otherwise indicated. The Disclosure Schedule shall be arranged in sections corresponding to the numbered and lettered sections contained in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and the disclosures in any section of the Disclosure Schedule shall qualify other sections in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only to the extent it is readily apparent from a reading of the disclosure that such disclosure is applicable to such other sections.</w:t>
      </w:r>
    </w:p>
    <w:p>
      <w:pPr>
        <w:spacing w:after="0" w:line="187" w:lineRule="exact"/>
        <w:rPr>
          <w:sz w:val="20"/>
          <w:szCs w:val="20"/>
          <w:color w:val="auto"/>
        </w:rPr>
      </w:pPr>
    </w:p>
    <w:p>
      <w:pPr>
        <w:jc w:val="both"/>
        <w:ind w:left="660" w:firstLine="644"/>
        <w:spacing w:after="0" w:line="258" w:lineRule="auto"/>
        <w:tabs>
          <w:tab w:leader="none" w:pos="157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All of the direct and indirect Subsidiaries of the Company are set forth on </w:t>
      </w:r>
      <w:r>
        <w:rPr>
          <w:rFonts w:ascii="Times New Roman" w:cs="Times New Roman" w:eastAsia="Times New Roman" w:hAnsi="Times New Roman"/>
          <w:sz w:val="18"/>
          <w:szCs w:val="18"/>
          <w:u w:val="single" w:color="auto"/>
          <w:color w:val="auto"/>
        </w:rPr>
        <w:t>Schedule 3.1(a)</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3.1(a)</w:t>
      </w:r>
      <w:r>
        <w:rPr>
          <w:rFonts w:ascii="Times New Roman" w:cs="Times New Roman" w:eastAsia="Times New Roman" w:hAnsi="Times New Roman"/>
          <w:sz w:val="18"/>
          <w:szCs w:val="18"/>
          <w:color w:val="auto"/>
        </w:rPr>
        <w:t>,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52" w:lineRule="auto"/>
        <w:tabs>
          <w:tab w:leader="none" w:pos="157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Charter,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cs="Times New Roman" w:eastAsia="Times New Roman" w:hAnsi="Times New Roman"/>
          <w:sz w:val="18"/>
          <w:szCs w:val="18"/>
          <w:b w:val="1"/>
          <w:bCs w:val="1"/>
          <w:color w:val="auto"/>
        </w:rPr>
        <w:t>Material Adverse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Effect</w:t>
      </w:r>
      <w:r>
        <w:rPr>
          <w:rFonts w:ascii="Times New Roman" w:cs="Times New Roman" w:eastAsia="Times New Roman" w:hAnsi="Times New Roman"/>
          <w:sz w:val="18"/>
          <w:szCs w:val="18"/>
          <w:color w:val="auto"/>
        </w:rPr>
        <w:t>”) provided, however, that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not include any event, occurrence, fact, condition or change, directly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indirectly, arising out of or attributable to the announcement, pendency or completion of the transactions contemplated by the Transaction Documents. No Proceeding has been instituted in any such jurisdiction revoking, limiting or curtailing or seeking to revoke, limit or curtail such power and authority or qualification.</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5" w:name="page46"/>
    <w:bookmarkEnd w:id="45"/>
    <w:p>
      <w:pPr>
        <w:jc w:val="both"/>
        <w:ind w:left="4" w:firstLine="644"/>
        <w:spacing w:after="0" w:line="253" w:lineRule="auto"/>
        <w:tabs>
          <w:tab w:leader="none" w:pos="91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shareholders in connection herewith or therewith other than in connection with the Required Approvals. Subject to obtaining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1"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907"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Schedule 3.1(d)</w:t>
      </w:r>
      <w:r>
        <w:rPr>
          <w:rFonts w:ascii="Times New Roman" w:cs="Times New Roman" w:eastAsia="Times New Roman" w:hAnsi="Times New Roman"/>
          <w:sz w:val="18"/>
          <w:szCs w:val="18"/>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subject to the Required Approvals, conflict with or violate any provision of the Company’s or any Subsidiary’s Charter, bylaws or other organizational or charter documents, or (ii) constitute a default (or an event that with notice or lapse of time or both would become a default) under, result in the creation of any Lien upon any of the properties or assets of the Company or any Subsidiary, or give to others any rights of termination, amendment,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189" w:lineRule="exact"/>
        <w:rPr>
          <w:rFonts w:ascii="Times New Roman" w:cs="Times New Roman" w:eastAsia="Times New Roman" w:hAnsi="Times New Roman"/>
          <w:sz w:val="18"/>
          <w:szCs w:val="18"/>
          <w:color w:val="auto"/>
        </w:rPr>
      </w:pPr>
    </w:p>
    <w:p>
      <w:pPr>
        <w:jc w:val="both"/>
        <w:ind w:left="4" w:firstLine="648"/>
        <w:spacing w:after="0" w:line="257" w:lineRule="auto"/>
        <w:tabs>
          <w:tab w:leader="none" w:pos="9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3.1(e)</w:t>
      </w:r>
      <w:r>
        <w:rPr>
          <w:rFonts w:ascii="Times New Roman" w:cs="Times New Roman" w:eastAsia="Times New Roman" w:hAnsi="Times New Roman"/>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w:t>
      </w:r>
    </w:p>
    <w:p>
      <w:pPr>
        <w:spacing w:after="0" w:line="1" w:lineRule="exact"/>
        <w:rPr>
          <w:rFonts w:ascii="Times New Roman" w:cs="Times New Roman" w:eastAsia="Times New Roman" w:hAnsi="Times New Roman"/>
          <w:sz w:val="18"/>
          <w:szCs w:val="18"/>
          <w:color w:val="auto"/>
        </w:rPr>
      </w:pPr>
    </w:p>
    <w:p>
      <w:pPr>
        <w:jc w:val="both"/>
        <w:ind w:left="4" w:hanging="4"/>
        <w:spacing w:after="0" w:line="255" w:lineRule="auto"/>
        <w:tabs>
          <w:tab w:leader="none" w:pos="21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filings required pursuant to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of this Agreement, (ii) application(s) to each applicable Principal Market for the listing of the Shares and the Warrant Shares for trading thereon in the time and manner required thereby, and (iii) such filings as are required to be made under applicable state or federal securities laws (collectively, the “</w:t>
      </w:r>
      <w:r>
        <w:rPr>
          <w:rFonts w:ascii="Times New Roman" w:cs="Times New Roman" w:eastAsia="Times New Roman" w:hAnsi="Times New Roman"/>
          <w:sz w:val="18"/>
          <w:szCs w:val="18"/>
          <w:b w:val="1"/>
          <w:bCs w:val="1"/>
          <w:color w:val="auto"/>
        </w:rPr>
        <w:t>Required Approvals</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90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the Securities</w:t>
      </w:r>
      <w:r>
        <w:rPr>
          <w:rFonts w:ascii="Times New Roman" w:cs="Times New Roman" w:eastAsia="Times New Roman" w:hAnsi="Times New Roman"/>
          <w:sz w:val="18"/>
          <w:szCs w:val="18"/>
          <w:color w:val="auto"/>
        </w:rPr>
        <w:t xml:space="preserve">. The Securities are duly authorized and, when issued and paid for in accordance with the applicable Transaction Documents, will be duly and validly issued, fully paid and nonassessable, free and clear of all Liens imposed by the Company. The Warrant Shares, when issued upon exercise of the Pre-Funded Warrants and the Common Warrants in accordance with the terms thereof will be validly issued, fully paid and nonassessable, free and clear of all Liens imposed by the Company. The Company shall reserve from its duly authorized capital stock a number of shares of Common Stock issuable pursuant to the exercise of the Pre-Funded Warrants and the Common Warrants equal to the amount set forth in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46" w:name="page47"/>
    <w:bookmarkEnd w:id="46"/>
    <w:p>
      <w:pPr>
        <w:jc w:val="both"/>
        <w:ind w:left="-460" w:firstLine="644"/>
        <w:spacing w:after="0" w:line="251" w:lineRule="auto"/>
        <w:tabs>
          <w:tab w:leader="none" w:pos="44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xml:space="preserve">. The capitalization of the Company as of the date hereof is as set forth on </w:t>
      </w:r>
      <w:r>
        <w:rPr>
          <w:rFonts w:ascii="Times New Roman" w:cs="Times New Roman" w:eastAsia="Times New Roman" w:hAnsi="Times New Roman"/>
          <w:sz w:val="18"/>
          <w:szCs w:val="18"/>
          <w:u w:val="single" w:color="auto"/>
          <w:color w:val="auto"/>
        </w:rPr>
        <w:t>Schedule 3.1(g)</w:t>
      </w:r>
      <w:r>
        <w:rPr>
          <w:rFonts w:ascii="Times New Roman" w:cs="Times New Roman" w:eastAsia="Times New Roman" w:hAnsi="Times New Roman"/>
          <w:sz w:val="18"/>
          <w:szCs w:val="18"/>
          <w:color w:val="auto"/>
        </w:rPr>
        <w:t xml:space="preserve">, which </w:t>
      </w:r>
      <w:r>
        <w:rPr>
          <w:rFonts w:ascii="Times New Roman" w:cs="Times New Roman" w:eastAsia="Times New Roman" w:hAnsi="Times New Roman"/>
          <w:sz w:val="18"/>
          <w:szCs w:val="18"/>
          <w:u w:val="single" w:color="auto"/>
          <w:color w:val="auto"/>
        </w:rPr>
        <w:t>Schedule 3.1(g)</w:t>
      </w:r>
      <w:r>
        <w:rPr>
          <w:rFonts w:ascii="Times New Roman" w:cs="Times New Roman" w:eastAsia="Times New Roman" w:hAnsi="Times New Roman"/>
          <w:sz w:val="18"/>
          <w:szCs w:val="18"/>
          <w:color w:val="auto"/>
        </w:rPr>
        <w:t xml:space="preserve"> shall also include the number of shares of Common Stock owned beneficially, and of record, by Affiliates of the Company as of the date hereof. The Company has not issued any capital stock since its most recently filed periodic report under the Exchange Act, other than as set forth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3.1(g)</w:t>
      </w:r>
      <w:r>
        <w:rPr>
          <w:rFonts w:ascii="Times New Roman" w:cs="Times New Roman" w:eastAsia="Times New Roman" w:hAnsi="Times New Roman"/>
          <w:sz w:val="18"/>
          <w:szCs w:val="18"/>
          <w:color w:val="auto"/>
        </w:rPr>
        <w:t xml:space="preserve"> other than pursuant to the exercise of employee stock awards under the Company’s equity incentive plans, the issuance of shares of Common Stock to employees pursuant to the Company’s employee stock purchase plans, the issuance of shares of Common Stock or Common Stock Equivalents pursuant to agreements outstanding as of the date of the most recently filed periodic report under the Exchange Act and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set forth on </w:t>
      </w:r>
      <w:r>
        <w:rPr>
          <w:rFonts w:ascii="Times New Roman" w:cs="Times New Roman" w:eastAsia="Times New Roman" w:hAnsi="Times New Roman"/>
          <w:sz w:val="18"/>
          <w:szCs w:val="18"/>
          <w:u w:val="single" w:color="auto"/>
          <w:color w:val="auto"/>
        </w:rPr>
        <w:t>Schedule 3.1(g)</w:t>
      </w:r>
      <w:r>
        <w:rPr>
          <w:rFonts w:ascii="Times New Roman" w:cs="Times New Roman" w:eastAsia="Times New Roman" w:hAnsi="Times New Roman"/>
          <w:sz w:val="18"/>
          <w:szCs w:val="18"/>
          <w:color w:val="auto"/>
        </w:rPr>
        <w:t>,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Securities will not obligate the Company or any Subsidiary to issue shares of Common Stock or other securities to any Person (other than the Purchasers) and will not result in a right of any holder of Company securities to adjust the exercise, conversion, exchange or reset price under any of such securities.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Except for required approvals, no further approval or authorization of any stockholder, the Board of Directors or others is required for the issuance and sale of the Securities. There are no shareholders agreements, voting agreements or other similar agreements with respect to the Company’s capital stock to which the Company is a party or, to the knowledge of the Company, between or among any of the Company’s shareholders.</w:t>
      </w:r>
    </w:p>
    <w:p>
      <w:pPr>
        <w:spacing w:after="0" w:line="204"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4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 w:cs="Times New Roman" w:eastAsia="Times New Roman" w:hAnsi="Times New Roman"/>
          <w:sz w:val="18"/>
          <w:szCs w:val="18"/>
          <w:b w:val="1"/>
          <w:bCs w:val="1"/>
          <w:color w:val="auto"/>
        </w:rPr>
        <w:t>SEC Reports</w:t>
      </w:r>
      <w:r>
        <w:rPr>
          <w:rFonts w:ascii="Times New Roman" w:cs="Times New Roman" w:eastAsia="Times New Roman" w:hAnsi="Times New Roman"/>
          <w:sz w:val="18"/>
          <w:szCs w:val="18"/>
          <w:color w:val="auto"/>
        </w:rPr>
        <w:t>”).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SEC with respect thereto as in effect at the time of filing.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year-end audit adjustments.</w:t>
      </w:r>
    </w:p>
    <w:p>
      <w:pPr>
        <w:spacing w:after="0" w:line="197"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1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 Undisclosed Events, Liabilities or Developments</w:t>
      </w:r>
      <w:r>
        <w:rPr>
          <w:rFonts w:ascii="Times New Roman" w:cs="Times New Roman" w:eastAsia="Times New Roman" w:hAnsi="Times New Roman"/>
          <w:sz w:val="18"/>
          <w:szCs w:val="18"/>
          <w:color w:val="auto"/>
        </w:rPr>
        <w:t xml:space="preserve">. Other than as set forth on </w:t>
      </w:r>
      <w:r>
        <w:rPr>
          <w:rFonts w:ascii="Times New Roman" w:cs="Times New Roman" w:eastAsia="Times New Roman" w:hAnsi="Times New Roman"/>
          <w:sz w:val="18"/>
          <w:szCs w:val="18"/>
          <w:u w:val="single" w:color="auto"/>
          <w:color w:val="auto"/>
        </w:rPr>
        <w:t>Schedule 3.1(i)</w:t>
      </w:r>
      <w:r>
        <w:rPr>
          <w:rFonts w:ascii="Times New Roman" w:cs="Times New Roman" w:eastAsia="Times New Roman" w:hAnsi="Times New Roman"/>
          <w:sz w:val="18"/>
          <w:szCs w:val="18"/>
          <w:color w:val="auto"/>
        </w:rPr>
        <w:t xml:space="preserve"> since the date of the latest audited financial statements included within the SEC Reports, except as specifically disclosed in a subsequent SEC Report filed prior to the date hereof,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SEC, (iii) the Company has not altered its method of accounting, (iv) the Company has not declared or made any dividend or distribution of cash or other property to its shareholders or purchased, redeemed or made any agreements to purchase or redeem any shares of its capital stock and (v) the Company has not issued any equity securities to any officer, director or Affiliate, except pursuant to existing Company equity incentive plans. The Company does not have pending before the SEC any request for confidential treatment of information. Except for the issuance of the Securities contemplated by this Agreement or as set forth on </w:t>
      </w:r>
      <w:r>
        <w:rPr>
          <w:rFonts w:ascii="Times New Roman" w:cs="Times New Roman" w:eastAsia="Times New Roman" w:hAnsi="Times New Roman"/>
          <w:sz w:val="18"/>
          <w:szCs w:val="18"/>
          <w:u w:val="single" w:color="auto"/>
          <w:color w:val="auto"/>
        </w:rPr>
        <w:t>Schedule 3.1(i)</w:t>
      </w:r>
      <w:r>
        <w:rPr>
          <w:rFonts w:ascii="Times New Roman" w:cs="Times New Roman" w:eastAsia="Times New Roman" w:hAnsi="Times New Roman"/>
          <w:sz w:val="18"/>
          <w:szCs w:val="18"/>
          <w:color w:val="auto"/>
        </w:rPr>
        <w: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one Trading Day prior to the date that this representation is made.</w:t>
      </w:r>
    </w:p>
    <w:p>
      <w:pPr>
        <w:spacing w:after="0" w:line="19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47" w:name="page48"/>
    <w:bookmarkEnd w:id="47"/>
    <w:p>
      <w:pPr>
        <w:jc w:val="both"/>
        <w:ind w:left="-460" w:firstLine="644"/>
        <w:spacing w:after="0" w:line="253" w:lineRule="auto"/>
        <w:tabs>
          <w:tab w:leader="none" w:pos="40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as disclosed in the SEC Reports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there is no action, suit, notice of violation, proceeding or investigation, inquiry or other similar proceeding of any federal or state governmental authority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18"/>
          <w:szCs w:val="18"/>
          <w:b w:val="1"/>
          <w:bCs w:val="1"/>
          <w:color w:val="auto"/>
        </w:rPr>
        <w:t>Action</w:t>
      </w:r>
      <w:r>
        <w:rPr>
          <w:rFonts w:ascii="Times New Roman" w:cs="Times New Roman" w:eastAsia="Times New Roman" w:hAnsi="Times New Roman"/>
          <w:sz w:val="18"/>
          <w:szCs w:val="18"/>
          <w:color w:val="auto"/>
        </w:rPr>
        <w:t xml:space="preserve">”) which (i) adversely affects or challenges the legality, validity or enforceability of any of the Transaction Documents or the issuance of the Securities or (ii) could, if there were an unfavorable decision, have or reasonably be expected to result in a Material Adverse Effect. The Company has no reason to believe that an Action will be filed against it in the future. Except as set forth in </w:t>
      </w:r>
      <w:r>
        <w:rPr>
          <w:rFonts w:ascii="Times New Roman" w:cs="Times New Roman" w:eastAsia="Times New Roman" w:hAnsi="Times New Roman"/>
          <w:sz w:val="18"/>
          <w:szCs w:val="18"/>
          <w:u w:val="single" w:color="auto"/>
          <w:color w:val="auto"/>
        </w:rPr>
        <w:t>the SEC Reports</w:t>
      </w:r>
      <w:r>
        <w:rPr>
          <w:rFonts w:ascii="Times New Roman" w:cs="Times New Roman" w:eastAsia="Times New Roman" w:hAnsi="Times New Roman"/>
          <w:sz w:val="18"/>
          <w:szCs w:val="18"/>
          <w:color w:val="auto"/>
        </w:rPr>
        <w: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SEC involving the Company or any current or former director or officer of the Company. The SEC has not issued any stop order or other order suspending the effectiveness of any registration statement filed by the Company or any Subsidiary under the Exchange Act or the Securities Act, and the Company has no reason to believe it will do so in the future.</w:t>
      </w:r>
    </w:p>
    <w:p>
      <w:pPr>
        <w:spacing w:after="0" w:line="189"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4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effort is underway to unionize or organize the employees of the Company or any Subsidiary.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applicable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 There is no workmen’s compensation liability matter, employment-related charge, complaint, grievance, investigation, inquiry or obligation of any kind pending, or to the Company’s knowledge, threatened, relating to an alleged violation or breach by the Company or its Subsidiaries of any law, regulation or contract that could, individually or in the aggregate, reasonably be expected to have a Material Adverse Effect. The Company has no reason to believe that any individual may commence an Action or file a claim with any governmental authority against the Company alleging sexual harassment or any type of discrimination or violation of any Laws.</w:t>
      </w:r>
    </w:p>
    <w:p>
      <w:pPr>
        <w:spacing w:after="0" w:line="193"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0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3.1(l)</w:t>
      </w:r>
      <w:r>
        <w:rPr>
          <w:rFonts w:ascii="Times New Roman" w:cs="Times New Roman" w:eastAsia="Times New Roman" w:hAnsi="Times New Roman"/>
          <w:sz w:val="18"/>
          <w:szCs w:val="18"/>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and regulations relating to taxes, healthcare laws, anti-kickback laws, securities, environmental protection, occupational health and safety, product quality and safety, transportation, and employment and labor matters, except in each case as could not have or reasonably be expected to result in a Material Adverse Effect.</w:t>
      </w:r>
    </w:p>
    <w:p>
      <w:pPr>
        <w:spacing w:after="0" w:line="18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48" w:name="page49"/>
    <w:bookmarkEnd w:id="48"/>
    <w:p>
      <w:pPr>
        <w:jc w:val="both"/>
        <w:ind w:left="-460" w:firstLine="644"/>
        <w:spacing w:after="0" w:line="253" w:lineRule="auto"/>
        <w:tabs>
          <w:tab w:leader="none" w:pos="49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b w:val="1"/>
          <w:bCs w:val="1"/>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except in each case of clause (i), (ii) and (iii), the failure to so comply could be reasonably expected to have, individually or in the aggregate, a Material Adverse Effect.</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4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 w:cs="Times New Roman" w:eastAsia="Times New Roman" w:hAnsi="Times New Roman"/>
          <w:sz w:val="18"/>
          <w:szCs w:val="18"/>
          <w:b w:val="1"/>
          <w:bCs w:val="1"/>
          <w:color w:val="auto"/>
        </w:rPr>
        <w:t>Material Permits</w:t>
      </w:r>
      <w:r>
        <w:rPr>
          <w:rFonts w:ascii="Times New Roman" w:cs="Times New Roman" w:eastAsia="Times New Roman" w:hAnsi="Times New Roman"/>
          <w:sz w:val="18"/>
          <w:szCs w:val="18"/>
          <w:color w:val="auto"/>
        </w:rPr>
        <w:t>”), and neither the Company nor any Subsidiary has received any notice of proceedings relating to the revocation or modification of any Material Permit.</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4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do not materially affect the value of such property,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 except where the failure to so comply would not be reasonably expected to have, individually or in the aggregate, a Material Adverse Effect.</w:t>
      </w:r>
    </w:p>
    <w:p>
      <w:pPr>
        <w:spacing w:after="0" w:line="191"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60" w:firstLine="1292"/>
        <w:spacing w:after="0" w:line="266" w:lineRule="auto"/>
        <w:tabs>
          <w:tab w:leader="none" w:pos="10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Schedule 3.1(p)</w:t>
      </w:r>
      <w:r>
        <w:rPr>
          <w:rFonts w:ascii="Times New Roman" w:cs="Times New Roman" w:eastAsia="Times New Roman" w:hAnsi="Times New Roman"/>
          <w:sz w:val="18"/>
          <w:szCs w:val="18"/>
          <w:color w:val="auto"/>
        </w:rPr>
        <w:t>, the Company owns or possesses or has the right to use pursuant to a valid and enforceable written license, sublicense, agreement, or permission all Intellectual Property necessary for the operation of the business of the Company as presently conducted, except in each case as could not have or reasonably be expected to result in a Material Adverse Effect.</w:t>
      </w:r>
    </w:p>
    <w:p>
      <w:pPr>
        <w:spacing w:after="0" w:line="175" w:lineRule="exact"/>
        <w:rPr>
          <w:rFonts w:ascii="Times New Roman" w:cs="Times New Roman" w:eastAsia="Times New Roman" w:hAnsi="Times New Roman"/>
          <w:sz w:val="18"/>
          <w:szCs w:val="18"/>
          <w:color w:val="auto"/>
        </w:rPr>
      </w:pPr>
    </w:p>
    <w:p>
      <w:pPr>
        <w:jc w:val="both"/>
        <w:ind w:left="-460" w:firstLine="1292"/>
        <w:spacing w:after="0" w:line="254" w:lineRule="auto"/>
        <w:tabs>
          <w:tab w:leader="none" w:pos="1113"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 knowledge that the Intellectual Property interferes with, infringe upon, misappropriate, or otherwise come into conflict with, any Intellectual Property rights of third parties, and the Company has no knowledge that facts exist which indicate a likelihood of the foregoing. The Company has not received any charge, complaint, claim, demand, or notice alleging any such interference, infringement, misappropriation, or conflict (including any claim that the Company must license or refrain from using any Intellectual Property rights of any third party). To the knowledge of the Company, all rights to its Intellectual Property are enforceable and no third party has interfered with, infringed upon, misappropriated, or otherwise come into conflict with, any Intellectual Property rights of the Company, except in each case as could not have or reasonably be expected to result in a Material Adverse Effect.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188" w:lineRule="exact"/>
        <w:rPr>
          <w:rFonts w:ascii="Times New Roman" w:cs="Times New Roman" w:eastAsia="Times New Roman" w:hAnsi="Times New Roman"/>
          <w:sz w:val="18"/>
          <w:szCs w:val="18"/>
          <w:color w:val="auto"/>
        </w:rPr>
      </w:pPr>
    </w:p>
    <w:p>
      <w:pPr>
        <w:jc w:val="both"/>
        <w:ind w:left="-460" w:firstLine="1292"/>
        <w:spacing w:after="0" w:line="261" w:lineRule="auto"/>
        <w:tabs>
          <w:tab w:leader="none" w:pos="119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and neither the Company nor any Subsidiary has received a notice (written or otherwise) that any of, the Intellectual Property Rights have expired, terminated or been abandoned, or is expected to expire or terminate or be abandoned, within two (2) years from the date of this Agreement, except where such expiration, termination or abandonment would not reasonably be expected to, individually or in the aggregate, have a Material Adverse Effect.</w:t>
      </w:r>
    </w:p>
    <w:p>
      <w:pPr>
        <w:spacing w:after="0" w:line="18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49" w:name="page50"/>
    <w:bookmarkEnd w:id="49"/>
    <w:p>
      <w:pPr>
        <w:jc w:val="both"/>
        <w:ind w:left="4" w:firstLine="644"/>
        <w:spacing w:after="0" w:line="261" w:lineRule="auto"/>
        <w:tabs>
          <w:tab w:leader="none" w:pos="9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179"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90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xml:space="preserve">. Except as disclosed in </w:t>
      </w:r>
      <w:r>
        <w:rPr>
          <w:rFonts w:ascii="Times New Roman" w:cs="Times New Roman" w:eastAsia="Times New Roman" w:hAnsi="Times New Roman"/>
          <w:sz w:val="18"/>
          <w:szCs w:val="18"/>
          <w:u w:val="single" w:color="auto"/>
          <w:color w:val="auto"/>
        </w:rPr>
        <w:t>Schedule 3.1(r)</w:t>
      </w:r>
      <w:r>
        <w:rPr>
          <w:rFonts w:ascii="Times New Roman" w:cs="Times New Roman" w:eastAsia="Times New Roman" w:hAnsi="Times New Roman"/>
          <w:sz w:val="18"/>
          <w:szCs w:val="18"/>
          <w:color w:val="auto"/>
        </w:rPr>
        <w:t>, during the past three fiscal years and the subsequent interim period through the date of this Agreement, none of the officers, directors or Affiliates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Affiliate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w:t>
      </w:r>
    </w:p>
    <w:p>
      <w:pPr>
        <w:ind w:left="4" w:right="20" w:hanging="4"/>
        <w:spacing w:after="0" w:line="260" w:lineRule="auto"/>
        <w:tabs>
          <w:tab w:leader="none" w:pos="26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expenses incurred on behalf of the Company and (iii) other employee benefits, including stock award agreements under any equity incentive plan of the Company.</w:t>
      </w:r>
    </w:p>
    <w:p>
      <w:pPr>
        <w:spacing w:after="0" w:line="181"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91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Internal Accounting Controls</w:t>
      </w:r>
      <w:r>
        <w:rPr>
          <w:rFonts w:ascii="Times New Roman" w:cs="Times New Roman" w:eastAsia="Times New Roman" w:hAnsi="Times New Roman"/>
          <w:sz w:val="18"/>
          <w:szCs w:val="18"/>
          <w:color w:val="auto"/>
        </w:rPr>
        <w:t xml:space="preserve">. Except as disclosed in </w:t>
      </w:r>
      <w:r>
        <w:rPr>
          <w:rFonts w:ascii="Times New Roman" w:cs="Times New Roman" w:eastAsia="Times New Roman" w:hAnsi="Times New Roman"/>
          <w:sz w:val="18"/>
          <w:szCs w:val="18"/>
          <w:u w:val="single" w:color="auto"/>
          <w:color w:val="auto"/>
        </w:rPr>
        <w:t>Schedule 3.1(s)</w:t>
      </w:r>
      <w:r>
        <w:rPr>
          <w:rFonts w:ascii="Times New Roman" w:cs="Times New Roman" w:eastAsia="Times New Roman" w:hAnsi="Times New Roman"/>
          <w:sz w:val="18"/>
          <w:szCs w:val="18"/>
          <w:color w:val="auto"/>
        </w:rPr>
        <w:t>, the Company and the Subsidiaries are in compliance with any and all applicable requirements of the Sarbanes-Oxley Act of 2002 that are effective as of the date hereof, and any and all applicable rules and regulations promulgated by the SEC thereunder that are effective as of the date hereof and as of the applicable Closing. The Company and the Subsidiaries maintain a system of internal accounting controls as set forth in the SEC Reports.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cs="Times New Roman" w:eastAsia="Times New Roman" w:hAnsi="Times New Roman"/>
          <w:sz w:val="18"/>
          <w:szCs w:val="18"/>
          <w:b w:val="1"/>
          <w:bCs w:val="1"/>
          <w:color w:val="auto"/>
        </w:rPr>
        <w:t>Evaluation Date</w:t>
      </w:r>
      <w:r>
        <w:rPr>
          <w:rFonts w:ascii="Times New Roman" w:cs="Times New Roman" w:eastAsia="Times New Roman" w:hAnsi="Times New Roman"/>
          <w:sz w:val="18"/>
          <w:szCs w:val="18"/>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194" w:lineRule="exact"/>
        <w:rPr>
          <w:rFonts w:ascii="Times New Roman" w:cs="Times New Roman" w:eastAsia="Times New Roman" w:hAnsi="Times New Roman"/>
          <w:sz w:val="18"/>
          <w:szCs w:val="18"/>
          <w:color w:val="auto"/>
        </w:rPr>
      </w:pPr>
    </w:p>
    <w:p>
      <w:pPr>
        <w:jc w:val="both"/>
        <w:ind w:left="4" w:firstLine="644"/>
        <w:spacing w:after="0" w:line="258" w:lineRule="auto"/>
        <w:tabs>
          <w:tab w:leader="none" w:pos="86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xml:space="preserve">. Other than as set forth on </w:t>
      </w:r>
      <w:r>
        <w:rPr>
          <w:rFonts w:ascii="Times New Roman" w:cs="Times New Roman" w:eastAsia="Times New Roman" w:hAnsi="Times New Roman"/>
          <w:sz w:val="18"/>
          <w:szCs w:val="18"/>
          <w:u w:val="single" w:color="auto"/>
          <w:color w:val="auto"/>
        </w:rPr>
        <w:t>Schedule 3.1(t)</w:t>
      </w:r>
      <w:r>
        <w:rPr>
          <w:rFonts w:ascii="Times New Roman" w:cs="Times New Roman" w:eastAsia="Times New Roman" w:hAnsi="Times New Roman"/>
          <w:sz w:val="18"/>
          <w:szCs w:val="18"/>
          <w:color w:val="auto"/>
        </w:rPr>
        <w:t xml:space="preserve">,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w:t>
      </w:r>
      <w:r>
        <w:rPr>
          <w:rFonts w:ascii="Times New Roman" w:cs="Times New Roman" w:eastAsia="Times New Roman" w:hAnsi="Times New Roman"/>
          <w:sz w:val="18"/>
          <w:szCs w:val="18"/>
          <w:u w:val="single" w:color="auto"/>
          <w:color w:val="auto"/>
        </w:rPr>
        <w:t>Section 3.1(t)</w:t>
      </w:r>
      <w:r>
        <w:rPr>
          <w:rFonts w:ascii="Times New Roman" w:cs="Times New Roman" w:eastAsia="Times New Roman" w:hAnsi="Times New Roman"/>
          <w:sz w:val="18"/>
          <w:szCs w:val="18"/>
          <w:color w:val="auto"/>
        </w:rPr>
        <w:t xml:space="preserve"> that may be due in connection with the transactions contemplated by the Transaction Documents.</w:t>
      </w:r>
    </w:p>
    <w:p>
      <w:pPr>
        <w:spacing w:after="0" w:line="183"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90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79"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90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Other than as required pursuant to this Agreement and as set forth in the SEC Reports, no Person has any right to cause the Company or any Subsidiary to effect the registration under the Securities Act of any securities of the Company or any Subsidiary. The Company shall not file any other resale registration statement prior to filing the registration statement required hereunder.</w:t>
      </w:r>
    </w:p>
    <w:p>
      <w:pPr>
        <w:spacing w:after="0" w:line="17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50" w:name="page51"/>
    <w:bookmarkEnd w:id="50"/>
    <w:p>
      <w:pPr>
        <w:jc w:val="both"/>
        <w:ind w:left="-460" w:firstLine="644"/>
        <w:spacing w:after="0" w:line="254" w:lineRule="auto"/>
        <w:tabs>
          <w:tab w:leader="none" w:pos="49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SEC is contemplating terminating such registration. Except as otherwise disclosed in the SEC Reports to date, the Company has not, in the 12 months preceding the date hereof, received notice from any Principal Market on which the Common Stock is or has been listed or quoted to the effect that the Company is not in compliance with the listing or maintenance requirements of such Principal Market. The Common Stock is currently eligible for electronic transfer through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or another established clearing corporation and the Company is current in payment of the fees to the DTC (or such other established clearing corporation) in connection with such electronic transfer. The Company is not subject to any “chill” issued by the DTC.</w:t>
      </w:r>
    </w:p>
    <w:p>
      <w:pPr>
        <w:spacing w:after="0" w:line="188" w:lineRule="exact"/>
        <w:rPr>
          <w:rFonts w:ascii="Times New Roman" w:cs="Times New Roman" w:eastAsia="Times New Roman" w:hAnsi="Times New Roman"/>
          <w:sz w:val="18"/>
          <w:szCs w:val="18"/>
          <w:color w:val="auto"/>
        </w:rPr>
      </w:pPr>
    </w:p>
    <w:p>
      <w:pPr>
        <w:jc w:val="both"/>
        <w:ind w:left="-460" w:firstLine="646"/>
        <w:spacing w:after="0" w:line="256" w:lineRule="auto"/>
        <w:tabs>
          <w:tab w:leader="none" w:pos="45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w:t>
      </w:r>
      <w:r>
        <w:rPr>
          <w:rFonts w:ascii="Times New Roman" w:cs="Times New Roman" w:eastAsia="Times New Roman" w:hAnsi="Times New Roman"/>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Charter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 the Shares, the Pre-Funded Warrants and the Warrant Shares.</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4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xml:space="preserve">.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SEC Reports.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including the Disclosure Schedules to this Agreement, is true and correct and does not contain any untrue statement of a material fact or omit to state any material fact necessary in order to make the statements made therein, in light of the circumstances under which they were made, not misleading. The press releases disseminated by the Company during the 12 months preceding the date of this Agreement do not contain any untrue statement of a material fact or omit to state a material fact required to be stated therein or necessary in order to make the statements therein, in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hereof.</w:t>
      </w:r>
    </w:p>
    <w:p>
      <w:pPr>
        <w:spacing w:after="0" w:line="189"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3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xml:space="preserve">. Assuming the accuracy of the Purchasers’ representations and warranties set forth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any applicable shareholder approval provisions of any Principal Market on which any of the securities of the Company are listed or designated.</w:t>
      </w:r>
    </w:p>
    <w:p>
      <w:pPr>
        <w:spacing w:after="0" w:line="18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51" w:name="page52"/>
    <w:bookmarkEnd w:id="51"/>
    <w:p>
      <w:pPr>
        <w:jc w:val="both"/>
        <w:ind w:left="4" w:firstLine="648"/>
        <w:spacing w:after="0" w:line="267" w:lineRule="auto"/>
        <w:tabs>
          <w:tab w:leader="none" w:pos="980"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Solvency</w:t>
      </w:r>
      <w:r>
        <w:rPr>
          <w:rFonts w:ascii="Times New Roman" w:cs="Times New Roman" w:eastAsia="Times New Roman" w:hAnsi="Times New Roman"/>
          <w:sz w:val="17"/>
          <w:szCs w:val="17"/>
          <w:color w:val="auto"/>
        </w:rPr>
        <w:t>.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The SEC Reports set forth as of the date hereof all outstanding secured and unsecured Indebtedness of the Company or any Subsidiary, or for which the Company or any Subsidiary has commitments. For the purposes of this Agreement. “</w:t>
      </w:r>
      <w:r>
        <w:rPr>
          <w:rFonts w:ascii="Times New Roman" w:cs="Times New Roman" w:eastAsia="Times New Roman" w:hAnsi="Times New Roman"/>
          <w:sz w:val="17"/>
          <w:szCs w:val="17"/>
          <w:b w:val="1"/>
          <w:bCs w:val="1"/>
          <w:color w:val="auto"/>
        </w:rPr>
        <w:t>Indebtedness</w:t>
      </w:r>
      <w:r>
        <w:rPr>
          <w:rFonts w:ascii="Times New Roman" w:cs="Times New Roman" w:eastAsia="Times New Roman" w:hAnsi="Times New Roman"/>
          <w:sz w:val="17"/>
          <w:szCs w:val="17"/>
          <w:color w:val="auto"/>
        </w:rPr>
        <w:t>” means (x) any liabilities for borrowed money or amounts owed in excess of $100,000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$200,000 due under leases required to be capitalized in accordance with GAAP. Except as set forth in the SEC Reports, neither the Company nor any Subsidiary is in default with respect to any Indebtedness.</w:t>
      </w:r>
    </w:p>
    <w:p>
      <w:pPr>
        <w:spacing w:after="0" w:line="189" w:lineRule="exact"/>
        <w:rPr>
          <w:rFonts w:ascii="Times New Roman" w:cs="Times New Roman" w:eastAsia="Times New Roman" w:hAnsi="Times New Roman"/>
          <w:sz w:val="17"/>
          <w:szCs w:val="17"/>
          <w:color w:val="auto"/>
        </w:rPr>
      </w:pPr>
    </w:p>
    <w:p>
      <w:pPr>
        <w:jc w:val="both"/>
        <w:ind w:left="4" w:firstLine="644"/>
        <w:spacing w:after="0" w:line="255" w:lineRule="auto"/>
        <w:tabs>
          <w:tab w:leader="none" w:pos="99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w:t>
      </w:r>
    </w:p>
    <w:p>
      <w:pPr>
        <w:spacing w:after="0" w:line="2" w:lineRule="exact"/>
        <w:rPr>
          <w:rFonts w:ascii="Times New Roman" w:cs="Times New Roman" w:eastAsia="Times New Roman" w:hAnsi="Times New Roman"/>
          <w:sz w:val="18"/>
          <w:szCs w:val="18"/>
          <w:color w:val="auto"/>
        </w:rPr>
      </w:pPr>
    </w:p>
    <w:p>
      <w:pPr>
        <w:jc w:val="both"/>
        <w:ind w:left="4" w:hanging="4"/>
        <w:spacing w:after="0" w:line="255" w:lineRule="auto"/>
        <w:tabs>
          <w:tab w:leader="none" w:pos="32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185"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97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any provision of FCPA.</w:t>
      </w:r>
    </w:p>
    <w:p>
      <w:pPr>
        <w:spacing w:after="0" w:line="187" w:lineRule="exact"/>
        <w:rPr>
          <w:rFonts w:ascii="Times New Roman" w:cs="Times New Roman" w:eastAsia="Times New Roman" w:hAnsi="Times New Roman"/>
          <w:sz w:val="18"/>
          <w:szCs w:val="18"/>
          <w:color w:val="auto"/>
        </w:rPr>
      </w:pPr>
    </w:p>
    <w:p>
      <w:pPr>
        <w:jc w:val="both"/>
        <w:ind w:left="4" w:firstLine="644"/>
        <w:spacing w:after="0" w:line="254" w:lineRule="auto"/>
        <w:tabs>
          <w:tab w:leader="none" w:pos="101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The Company’s accounting firm is set forth in the SEC Reports. To the knowledge and belief of the Company, such accounting firm is a registered public accounting firm as required by the Exchange Act and the rules of the Public Company Accounting Oversight Board (“PCAOB”), and is in good standing with the PCAOB. Such firm has expressed its opinion with respect to the financial statements included in the Company’s most recently filed Annual Report on Form 10-K and, to the knowledge of the Company, is expected to express its opinion with respect to the financial statements to be included in the Company’s Annual Report for the fiscal year ending December 31, 2025. The Company has not had any disagreements (as that term is defined in Item 304 of Regulation S-K) with its independent registered public accounting firm during the periods covered by the financial statements included in the SEC Reports or any subsequent interim period. To the Company’s knowledge, such firm has not resigned or been dismissed as the Company’s independent auditors as a result of or in connection with any disagreement relating to accounting principles, financial statement disclosures, or auditing scope or procedures.</w:t>
      </w:r>
    </w:p>
    <w:p>
      <w:pPr>
        <w:spacing w:after="0" w:line="188" w:lineRule="exact"/>
        <w:rPr>
          <w:rFonts w:ascii="Times New Roman" w:cs="Times New Roman" w:eastAsia="Times New Roman" w:hAnsi="Times New Roman"/>
          <w:sz w:val="18"/>
          <w:szCs w:val="18"/>
          <w:color w:val="auto"/>
        </w:rPr>
      </w:pPr>
    </w:p>
    <w:p>
      <w:pPr>
        <w:jc w:val="both"/>
        <w:ind w:left="4" w:firstLine="644"/>
        <w:spacing w:after="0" w:line="254" w:lineRule="auto"/>
        <w:tabs>
          <w:tab w:leader="none" w:pos="97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Purchase of Securities</w:t>
      </w:r>
      <w:r>
        <w:rPr>
          <w:rFonts w:ascii="Times New Roman" w:cs="Times New Roman" w:eastAsia="Times New Roman" w:hAnsi="Times New Roman"/>
          <w:sz w:val="18"/>
          <w:szCs w:val="18"/>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19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52" w:name="page53"/>
    <w:bookmarkEnd w:id="52"/>
    <w:p>
      <w:pPr>
        <w:jc w:val="both"/>
        <w:ind w:left="-460" w:firstLine="644"/>
        <w:spacing w:after="0" w:line="253" w:lineRule="auto"/>
        <w:tabs>
          <w:tab w:leader="none" w:pos="46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Acknowledgement Regarding Purchaser’s Trading Activity.</w:t>
      </w:r>
      <w:r>
        <w:rPr>
          <w:rFonts w:ascii="Times New Roman" w:cs="Times New Roman" w:eastAsia="Times New Roman" w:hAnsi="Times New Roman"/>
          <w:sz w:val="18"/>
          <w:szCs w:val="18"/>
          <w:color w:val="auto"/>
        </w:rPr>
        <w:t xml:space="preserve"> Notwithstanding anything in this Agreement or elsewhere to the contrary (except for </w:t>
      </w:r>
      <w:r>
        <w:rPr>
          <w:rFonts w:ascii="Times New Roman" w:cs="Times New Roman" w:eastAsia="Times New Roman" w:hAnsi="Times New Roman"/>
          <w:sz w:val="18"/>
          <w:szCs w:val="18"/>
          <w:u w:val="single" w:color="auto"/>
          <w:color w:val="auto"/>
        </w:rPr>
        <w:t>Sections 3.2(f)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4.12</w:t>
      </w:r>
      <w:r>
        <w:rPr>
          <w:rFonts w:ascii="Times New Roman" w:cs="Times New Roman" w:eastAsia="Times New Roman" w:hAnsi="Times New Roman"/>
          <w:sz w:val="18"/>
          <w:szCs w:val="18"/>
          <w:color w:val="auto"/>
        </w:rPr>
        <w:t xml:space="preserve"> hereof), it is understood and acknowledged by the Company that: (i) no Purchaser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and (z) such hedging activities (if any) could reduce the value of the existing shareholders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189"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5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The Company has not, and to its knowledge no one acting on its behalf has, (i) taken, directly or indirectly, any action designed to cause or to result in the stabilization or manipulation of the price of the Common Stock to facilitate the sale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Placement Agents in connection with the placement of the Securities.</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57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 Plans</w:t>
      </w:r>
      <w:r>
        <w:rPr>
          <w:rFonts w:ascii="Times New Roman" w:cs="Times New Roman" w:eastAsia="Times New Roman" w:hAnsi="Times New Roman"/>
          <w:sz w:val="18"/>
          <w:szCs w:val="18"/>
          <w:color w:val="auto"/>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6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Except as would not reasonably be expected to result in a Material Adverse Effect, (i) there has been no material security breach of or relating to any of the Company’s or its Subsidiaries’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cs="Times New Roman" w:eastAsia="Times New Roman" w:hAnsi="Times New Roman"/>
          <w:sz w:val="18"/>
          <w:szCs w:val="18"/>
          <w:u w:val="single" w:color="auto"/>
          <w:color w:val="auto"/>
        </w:rPr>
        <w:t>IT Systems and Data</w:t>
      </w:r>
      <w:r>
        <w:rPr>
          <w:rFonts w:ascii="Times New Roman" w:cs="Times New Roman" w:eastAsia="Times New Roman" w:hAnsi="Times New Roman"/>
          <w:sz w:val="18"/>
          <w:szCs w:val="18"/>
          <w:color w:val="auto"/>
        </w:rPr>
        <w:t>”), (ii) the Company and the Subsidiaries have not been notified of, and has no knowledge of any event or condition that would reasonably be expected to result in, any material security breach to its IT Systems and Data, (iii)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(iv) the Company and its Subsidiaries have implemented and maintained commercially reasonable safeguards to maintain and protect their material confidential information and the integrity, continuous operation, redundancy and security of all IT Systems and Data, and (v) the Company and its Subsidiaries have implemented commercially reasonable backup and disaster recovery technology.</w:t>
      </w:r>
    </w:p>
    <w:p>
      <w:pPr>
        <w:spacing w:after="0" w:line="19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53" w:name="page54"/>
    <w:bookmarkEnd w:id="53"/>
    <w:p>
      <w:pPr>
        <w:ind w:firstLine="644"/>
        <w:spacing w:after="0" w:line="282" w:lineRule="auto"/>
        <w:tabs>
          <w:tab w:leader="none" w:pos="91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 xml:space="preserve">. Assuming the accuracy of each Purchaser’s representations and warranties set forth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no registration under the Securities Act is required for the offer and sale of the Securities by the Company to the Purchasers as contemplated hereby.</w:t>
      </w:r>
    </w:p>
    <w:p>
      <w:pPr>
        <w:spacing w:after="0" w:line="161" w:lineRule="exact"/>
        <w:rPr>
          <w:rFonts w:ascii="Times New Roman" w:cs="Times New Roman" w:eastAsia="Times New Roman" w:hAnsi="Times New Roman"/>
          <w:sz w:val="18"/>
          <w:szCs w:val="18"/>
          <w:color w:val="auto"/>
        </w:rPr>
      </w:pPr>
    </w:p>
    <w:p>
      <w:pPr>
        <w:jc w:val="both"/>
        <w:ind w:firstLine="644"/>
        <w:spacing w:after="0" w:line="266" w:lineRule="auto"/>
        <w:tabs>
          <w:tab w:leader="none" w:pos="100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the Company nor any person acting on behalf of the Company has offered or sold any of the Securities by any form of general solicitation or general advertising. The Company has offered the Securities for sale only to the Purchasers and certain other “accredited investors” within the meaning of Rule 501 under the Securities Act.</w:t>
      </w:r>
    </w:p>
    <w:p>
      <w:pPr>
        <w:spacing w:after="0" w:line="175" w:lineRule="exact"/>
        <w:rPr>
          <w:rFonts w:ascii="Times New Roman" w:cs="Times New Roman" w:eastAsia="Times New Roman" w:hAnsi="Times New Roman"/>
          <w:sz w:val="18"/>
          <w:szCs w:val="18"/>
          <w:color w:val="auto"/>
        </w:rPr>
      </w:pPr>
    </w:p>
    <w:p>
      <w:pPr>
        <w:jc w:val="both"/>
        <w:ind w:firstLine="644"/>
        <w:spacing w:after="0" w:line="253" w:lineRule="auto"/>
        <w:tabs>
          <w:tab w:leader="none" w:pos="92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Disqualification Events</w:t>
      </w:r>
      <w:r>
        <w:rPr>
          <w:rFonts w:ascii="Times New Roman" w:cs="Times New Roman" w:eastAsia="Times New Roman" w:hAnsi="Times New Roman"/>
          <w:sz w:val="18"/>
          <w:szCs w:val="18"/>
          <w:color w:val="auto"/>
        </w:rPr>
        <w:t>. With respect to the Securities to be offered and sold hereunder in reliance on Rule 506(b) under the Securities Act,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Securities Act) connected with the Company in any capacity at the time of sale, nor any Person, including a placement agent, who will receive a commission or fees for soliciting purchasers (each, an “</w:t>
      </w:r>
      <w:r>
        <w:rPr>
          <w:rFonts w:ascii="Times New Roman" w:cs="Times New Roman" w:eastAsia="Times New Roman" w:hAnsi="Times New Roman"/>
          <w:sz w:val="18"/>
          <w:szCs w:val="18"/>
          <w:b w:val="1"/>
          <w:bCs w:val="1"/>
          <w:color w:val="auto"/>
        </w:rPr>
        <w:t>Issuer Covered Person</w:t>
      </w:r>
      <w:r>
        <w:rPr>
          <w:rFonts w:ascii="Times New Roman" w:cs="Times New Roman" w:eastAsia="Times New Roman" w:hAnsi="Times New Roman"/>
          <w:sz w:val="18"/>
          <w:szCs w:val="18"/>
          <w:color w:val="auto"/>
        </w:rPr>
        <w:t>” and, together, “</w:t>
      </w:r>
      <w:r>
        <w:rPr>
          <w:rFonts w:ascii="Times New Roman" w:cs="Times New Roman" w:eastAsia="Times New Roman" w:hAnsi="Times New Roman"/>
          <w:sz w:val="18"/>
          <w:szCs w:val="18"/>
          <w:b w:val="1"/>
          <w:bCs w:val="1"/>
          <w:color w:val="auto"/>
        </w:rPr>
        <w:t>Issuer Covered Persons</w:t>
      </w:r>
      <w:r>
        <w:rPr>
          <w:rFonts w:ascii="Times New Roman" w:cs="Times New Roman" w:eastAsia="Times New Roman" w:hAnsi="Times New Roman"/>
          <w:sz w:val="18"/>
          <w:szCs w:val="18"/>
          <w:color w:val="auto"/>
        </w:rPr>
        <w:t>”) is subject to any of the “Bad Actor” disqualifications described in Rule 506(d)(1)(i) to (viii) under the Securities Act (a “</w:t>
      </w:r>
      <w:r>
        <w:rPr>
          <w:rFonts w:ascii="Times New Roman" w:cs="Times New Roman" w:eastAsia="Times New Roman" w:hAnsi="Times New Roman"/>
          <w:sz w:val="18"/>
          <w:szCs w:val="18"/>
          <w:b w:val="1"/>
          <w:bCs w:val="1"/>
          <w:color w:val="auto"/>
        </w:rPr>
        <w:t>Disqualification Event</w:t>
      </w:r>
      <w:r>
        <w:rPr>
          <w:rFonts w:ascii="Times New Roman" w:cs="Times New Roman" w:eastAsia="Times New Roman" w:hAnsi="Times New Roman"/>
          <w:sz w:val="18"/>
          <w:szCs w:val="18"/>
          <w:color w:val="auto"/>
        </w:rPr>
        <w:t>”), except for a Disqualification Event covered by Rule 506(d)(2) or (d)</w:t>
      </w:r>
    </w:p>
    <w:p>
      <w:pPr>
        <w:spacing w:after="0" w:line="2"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The Company has exercised reasonable care to determine whether any Issuer Covered Person is subject to a Disqualification Event. The Company has complied, to the extent applicable, with its disclosure obligations under Rule 506(e), and has furnished to the Purchasers a copy of any disclosures provided thereunder.</w:t>
      </w:r>
    </w:p>
    <w:p>
      <w:pPr>
        <w:spacing w:after="0" w:line="185" w:lineRule="exact"/>
        <w:rPr>
          <w:rFonts w:ascii="Times New Roman" w:cs="Times New Roman" w:eastAsia="Times New Roman" w:hAnsi="Times New Roman"/>
          <w:sz w:val="18"/>
          <w:szCs w:val="18"/>
          <w:color w:val="auto"/>
        </w:rPr>
      </w:pPr>
    </w:p>
    <w:p>
      <w:pPr>
        <w:jc w:val="both"/>
        <w:ind w:firstLine="644"/>
        <w:spacing w:after="0" w:line="266" w:lineRule="auto"/>
        <w:tabs>
          <w:tab w:leader="none" w:pos="11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Disqualification Events</w:t>
      </w:r>
      <w:r>
        <w:rPr>
          <w:rFonts w:ascii="Times New Roman" w:cs="Times New Roman" w:eastAsia="Times New Roman" w:hAnsi="Times New Roman"/>
          <w:sz w:val="18"/>
          <w:szCs w:val="18"/>
          <w:color w:val="auto"/>
        </w:rPr>
        <w:t>. The Company will notify the Purchasers in writing, prior to the Closing Date of (i) any Disqualification Event relating to any Issuer Covered Person and (ii) any event that would, with the passage of time, reasonably be expected to become a Disqualification Event relating to any Issuer Covered Person, in each case of which it is aware.</w:t>
      </w:r>
    </w:p>
    <w:p>
      <w:pPr>
        <w:spacing w:after="0" w:line="175" w:lineRule="exact"/>
        <w:rPr>
          <w:rFonts w:ascii="Times New Roman" w:cs="Times New Roman" w:eastAsia="Times New Roman" w:hAnsi="Times New Roman"/>
          <w:sz w:val="18"/>
          <w:szCs w:val="18"/>
          <w:color w:val="auto"/>
        </w:rPr>
      </w:pPr>
    </w:p>
    <w:p>
      <w:pPr>
        <w:jc w:val="both"/>
        <w:ind w:firstLine="644"/>
        <w:spacing w:after="0" w:line="266" w:lineRule="auto"/>
        <w:tabs>
          <w:tab w:leader="none" w:pos="99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 of Foreign Assets Control</w:t>
      </w:r>
      <w:r>
        <w:rPr>
          <w:rFonts w:ascii="Times New Roman" w:cs="Times New Roman" w:eastAsia="Times New Roman" w:hAnsi="Times New Roman"/>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20" w:firstLine="644"/>
        <w:spacing w:after="0" w:line="282" w:lineRule="auto"/>
        <w:tabs>
          <w:tab w:leader="none" w:pos="99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The Company is not and has never been a U.S. real property holding corporation within the meaning of Section 897 of the Internal Revenue Code of 1986, as amended, and the Company shall so certify upon Purchaser’s request.</w:t>
      </w:r>
    </w:p>
    <w:p>
      <w:pPr>
        <w:spacing w:after="0" w:line="161" w:lineRule="exact"/>
        <w:rPr>
          <w:rFonts w:ascii="Times New Roman" w:cs="Times New Roman" w:eastAsia="Times New Roman" w:hAnsi="Times New Roman"/>
          <w:sz w:val="18"/>
          <w:szCs w:val="18"/>
          <w:color w:val="auto"/>
        </w:rPr>
      </w:pPr>
    </w:p>
    <w:p>
      <w:pPr>
        <w:jc w:val="both"/>
        <w:ind w:firstLine="644"/>
        <w:spacing w:after="0" w:line="256" w:lineRule="auto"/>
        <w:tabs>
          <w:tab w:leader="none" w:pos="99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Subsidiaries or Affiliates is subject to the Bank Holding Company Act of 1956, as amended (the “</w:t>
      </w:r>
      <w:r>
        <w:rPr>
          <w:rFonts w:ascii="Times New Roman" w:cs="Times New Roman" w:eastAsia="Times New Roman" w:hAnsi="Times New Roman"/>
          <w:sz w:val="18"/>
          <w:szCs w:val="18"/>
          <w:b w:val="1"/>
          <w:bCs w:val="1"/>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b w:val="1"/>
          <w:bCs w:val="1"/>
          <w:color w:val="auto"/>
        </w:rPr>
        <w:t>Federal Reserve</w:t>
      </w:r>
      <w:r>
        <w:rPr>
          <w:rFonts w:ascii="Times New Roman" w:cs="Times New Roman" w:eastAsia="Times New Roman" w:hAnsi="Times New Roman"/>
          <w:sz w:val="18"/>
          <w:szCs w:val="18"/>
          <w:color w:val="auto"/>
        </w:rPr>
        <w:t>”). Neither the Company nor any of its Subsidiaries or Affiliates owns or controls, directly or indirectly,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87" w:lineRule="exact"/>
        <w:rPr>
          <w:rFonts w:ascii="Times New Roman" w:cs="Times New Roman" w:eastAsia="Times New Roman" w:hAnsi="Times New Roman"/>
          <w:sz w:val="18"/>
          <w:szCs w:val="18"/>
          <w:color w:val="auto"/>
        </w:rPr>
      </w:pPr>
    </w:p>
    <w:p>
      <w:pPr>
        <w:jc w:val="both"/>
        <w:ind w:firstLine="644"/>
        <w:spacing w:after="0" w:line="258" w:lineRule="auto"/>
        <w:tabs>
          <w:tab w:leader="none" w:pos="99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8"/>
          <w:szCs w:val="18"/>
          <w:b w:val="1"/>
          <w:bCs w:val="1"/>
          <w:color w:val="auto"/>
        </w:rPr>
        <w:t>Money Laundering Laws</w:t>
      </w:r>
      <w:r>
        <w:rPr>
          <w:rFonts w:ascii="Times New Roman" w:cs="Times New Roman" w:eastAsia="Times New Roman" w:hAnsi="Times New Roman"/>
          <w:sz w:val="18"/>
          <w:szCs w:val="18"/>
          <w:color w:val="auto"/>
        </w:rPr>
        <w:t>”), and no Action by or before any court or governmental agency, authority or body or any arbitrator involving the Company or any Subsidiary with respect to the Money Laundering Laws is pending or, to the knowledge of the Company or any Subsidiary, threatened.</w:t>
      </w:r>
    </w:p>
    <w:p>
      <w:pPr>
        <w:spacing w:after="0" w:line="18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54" w:name="page55"/>
    <w:bookmarkEnd w:id="54"/>
    <w:p>
      <w:pPr>
        <w:jc w:val="both"/>
        <w:ind w:left="660" w:firstLine="644"/>
        <w:spacing w:after="0" w:line="258" w:lineRule="auto"/>
        <w:tabs>
          <w:tab w:leader="none" w:pos="1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Shell Company Status</w:t>
      </w:r>
      <w:r>
        <w:rPr>
          <w:rFonts w:ascii="Times New Roman" w:cs="Times New Roman" w:eastAsia="Times New Roman" w:hAnsi="Times New Roman"/>
          <w:sz w:val="18"/>
          <w:szCs w:val="18"/>
          <w:color w:val="auto"/>
        </w:rPr>
        <w:t>. The Company is not, and has not been for a period of at least one year from the date hereof, an issuer identified in Rule 144(i)(1) of the Securities Act. The Company has filed current “Form 10 information” (as defined in Rule 144(i)(3)) with the SEC reflecting its status as an entity that was no longer an issuer described in Rule 144(i)(1)(i) more than one year ago from the date hereof. The Company shall provide a legal opinion of counsel to the Company in a form reasonably acceptable to the Purchaser with respect to this representation.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Representations and Warranties of the Purchasers</w:t>
      </w:r>
      <w:r>
        <w:rPr>
          <w:rFonts w:ascii="Times New Roman" w:cs="Times New Roman" w:eastAsia="Times New Roman" w:hAnsi="Times New Roman"/>
          <w:sz w:val="18"/>
          <w:szCs w:val="18"/>
          <w:color w:val="auto"/>
        </w:rPr>
        <w:t>. Each Purchaser, for itself and for no other Purchaser, hereby represents and warrants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as follows which representations and warranties shall be true and correct as of the date hereof and as of the Closing Date:</w:t>
      </w:r>
    </w:p>
    <w:p>
      <w:pPr>
        <w:spacing w:after="0" w:line="207" w:lineRule="exact"/>
        <w:rPr>
          <w:sz w:val="20"/>
          <w:szCs w:val="20"/>
          <w:color w:val="auto"/>
        </w:rPr>
      </w:pPr>
    </w:p>
    <w:p>
      <w:pPr>
        <w:jc w:val="both"/>
        <w:ind w:left="660" w:firstLine="644"/>
        <w:spacing w:after="0" w:line="253" w:lineRule="auto"/>
        <w:tabs>
          <w:tab w:leader="none" w:pos="155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this Agreement and otherwise to carry out its obligations hereunder and thereunder. The execution and delivery of this Agreement and performance by such Purchaser of the transactions contemplated by this Agreement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57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Understandings or Arrangements</w:t>
      </w:r>
      <w:r>
        <w:rPr>
          <w:rFonts w:ascii="Times New Roman" w:cs="Times New Roman" w:eastAsia="Times New Roman" w:hAnsi="Times New Roman"/>
          <w:sz w:val="18"/>
          <w:szCs w:val="18"/>
          <w:color w:val="auto"/>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in compliance with applicable federal and state securities laws). Such Purchaser is acquiring the Securities hereunder in the ordinary course of its business. Such Purchaser understands that the Securities are “restricted securities” and have not been registered under the Securities Act or any applicable state securities law and is acquiring such Securities as principal for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such Purchaser’s right to sell such Securities in compliance with applicable federal and state securities laws).</w:t>
      </w:r>
    </w:p>
    <w:p>
      <w:pPr>
        <w:spacing w:after="0" w:line="194"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5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Status</w:t>
      </w:r>
      <w:r>
        <w:rPr>
          <w:rFonts w:ascii="Times New Roman" w:cs="Times New Roman" w:eastAsia="Times New Roman" w:hAnsi="Times New Roman"/>
          <w:sz w:val="18"/>
          <w:szCs w:val="18"/>
          <w:color w:val="auto"/>
        </w:rPr>
        <w:t>. At the time such Purchaser was offered the Securities, it was, and as of the date hereof it is, an “accredited investor” within the meaning of Rule 501 under Regulation D promulgated under the Securities Act or a “qualified institutional buyer” as defined in Rule 144A(a) promulgated under the Securities Act. No Purchaser is subject to any Disqualification Event, except for a Disqualification Event covered by Rule 506(d)(2) or (d)(3).</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6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of Such Purchaser</w:t>
      </w:r>
      <w:r>
        <w:rPr>
          <w:rFonts w:ascii="Times New Roman" w:cs="Times New Roman" w:eastAsia="Times New Roman" w:hAnsi="Times New Roman"/>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5" w:name="page56"/>
    <w:bookmarkEnd w:id="55"/>
    <w:p>
      <w:pPr>
        <w:jc w:val="both"/>
        <w:ind w:left="660" w:firstLine="644"/>
        <w:spacing w:after="0" w:line="253" w:lineRule="auto"/>
        <w:tabs>
          <w:tab w:leader="none" w:pos="155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Such Purchaser acknowledges that it has had the opportunity to review the Transaction Documents (including all exhibits and schedules thereto) and the SEC Reports and has been afforded, subject to Regulation FD,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Company, the Placement Agent, nor their Affiliates or anyone else has provided such Purchaser with any information or advice with respect to the Securities nor is such information or advice necessary or desired. In connection with the issuance of the Securities to such Purchaser, neither the Placement Agents nor any of their Affiliates has acted as a financial advisor or fiduciary to such Purchaser.</w:t>
      </w:r>
    </w:p>
    <w:p>
      <w:pPr>
        <w:spacing w:after="0" w:line="194" w:lineRule="exact"/>
        <w:rPr>
          <w:rFonts w:ascii="Times New Roman" w:cs="Times New Roman" w:eastAsia="Times New Roman" w:hAnsi="Times New Roman"/>
          <w:sz w:val="18"/>
          <w:szCs w:val="18"/>
          <w:color w:val="auto"/>
        </w:rPr>
      </w:pPr>
    </w:p>
    <w:p>
      <w:pPr>
        <w:jc w:val="both"/>
        <w:ind w:left="660" w:firstLine="644"/>
        <w:spacing w:after="0" w:line="252" w:lineRule="auto"/>
        <w:tabs>
          <w:tab w:leader="none" w:pos="153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acknowledges and agrees that the representations contained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 contemplated hereby.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OTHER AGREEMENTS OF THE PARTIES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Removal of Legends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74" w:lineRule="auto"/>
        <w:tabs>
          <w:tab w:leader="none" w:pos="1566"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Shares, the Pre-Funded Warrants, the Common Warrants and the Warrant Shares may only be disposed of in compliance with state and federal securities laws. In connection with any transfer of the Shares or the Warrant Shares other than pursuant to an effective registration statement or Rule 144, to the Company or to an Affiliate of a Purchaser or in connection with a pledge as contemplated in </w:t>
      </w:r>
      <w:r>
        <w:rPr>
          <w:rFonts w:ascii="Times New Roman" w:cs="Times New Roman" w:eastAsia="Times New Roman" w:hAnsi="Times New Roman"/>
          <w:sz w:val="17"/>
          <w:szCs w:val="17"/>
          <w:u w:val="single" w:color="auto"/>
          <w:color w:val="auto"/>
        </w:rPr>
        <w:t>Section 4.1(b)</w:t>
      </w:r>
      <w:r>
        <w:rPr>
          <w:rFonts w:ascii="Times New Roman" w:cs="Times New Roman" w:eastAsia="Times New Roman" w:hAnsi="Times New Roman"/>
          <w:sz w:val="17"/>
          <w:szCs w:val="17"/>
          <w:color w:val="auto"/>
        </w:rPr>
        <w:t>, the Company may require the transferor to provide to the Company an opinion of counsel selected by the transferor and reasonably acceptable to the Company at the cost of the Company, the form and substance of which opinion shall be reasonably satisfactory to the Company, to the effect that such transfer does not require registration of such transferred Shares, Pre-Funded Warrants or Warrant Shares under the Securities Act.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6" w:name="page57"/>
    <w:bookmarkEnd w:id="56"/>
    <w:p>
      <w:pPr>
        <w:ind w:left="660" w:firstLine="644"/>
        <w:spacing w:after="0" w:line="282" w:lineRule="auto"/>
        <w:tabs>
          <w:tab w:leader="none" w:pos="157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Purchaser agrees to the imprinting, so long as is required by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of a legend on any of the Shares, the Pre-Funded Warrants or the Warrant Shares in substantially the following form:</w:t>
      </w:r>
    </w:p>
    <w:p>
      <w:pPr>
        <w:spacing w:after="0" w:line="162"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NEITHER THIS SECURITY NOR THE SECURITIES INTO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acknowledges and agrees that a Purchaser may from time to time pledge pursuant to a bona fide margin agreement with a registered broker-dealer or grant a security interest in some or all of the Shares, the Pre-Funded Warrants or the Warrant Shares to a financial institution that is an “accredited investor” as defined in Rule 501(a) under the Securities Act and who agrees to be bound by the provisions of this Agreement and, if required under the terms of such arrangement, such Purchaser may transfer pledged or secured Shares, Pre-Funded Warrants or the Warrant Shares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the Company will execute and deliver such reasonable documentation as a pledgee or secured party of the Shares, Pre-Funded Warrants, or the Warrant Shares may reasonably request in connection with a pledge or transfer of the Shares, Pre-Funded Warrants or the Warrant Shares.</w:t>
      </w:r>
    </w:p>
    <w:p>
      <w:pPr>
        <w:spacing w:after="0" w:line="192" w:lineRule="exact"/>
        <w:rPr>
          <w:sz w:val="20"/>
          <w:szCs w:val="20"/>
          <w:color w:val="auto"/>
        </w:rPr>
      </w:pPr>
    </w:p>
    <w:p>
      <w:pPr>
        <w:jc w:val="both"/>
        <w:ind w:left="660" w:firstLine="644"/>
        <w:spacing w:after="0" w:line="251" w:lineRule="auto"/>
        <w:tabs>
          <w:tab w:leader="none" w:pos="156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Certificates evidencing the Shares, the Pre-Funded Warrants and the Warrant Shares (or the Transfer Agent’s records if held in book entry form) shall not contain any legend (including the legend set forth in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 xml:space="preserve"> hereof): (i) while a registration statement covering the resale of such securities is effective under the Securities Act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(ii) following any sale of such Shares or Warrant Shares pursuant to Rule 144, (iii) if such Shares or Warrant Shares are eligible for sale under Rule 144, without the requirement for the Company to be in compliance with the current public information required under Rule 144 as to such Shares or Warrant Shares and without volume or manner-of-sale restrictions or (iv) if such legend is not required under applicable requirements of the Securities Act (including Sections 4(a)(1) and 4(a)(7) judicial interpretations and pronouncements issued by the staff of the SEC). The Company shall, at its expense, cause its counsel to issue a legal opinion to the Transfer Agent promptly after the Effective Date if required by the Transfer Agent to effect the removal of the legend hereunder. If any Pre-Funded Warrants are exercised at a time when there is an effective registration statement to cover the resale of the Warrant Shares, or if such Warrant Shares may be sold under Rule 144 and the Company is then in compliance with the current public information required under Rule 144, or if the Warrant Shares may be sold under Rule 144 without the requirement for the Company to be in compliance with the current public information required under Rule 144 as to such Warrant Shares and without volume or manner-of-sale restrictions or if such legend is not otherwise required under applicable requirements of the Securities Act (including Sections 4(a)(1) and 4(a)(7), judicial interpretations and pronouncements issued by the staff of the SEC) then such Warrant Shares shall be issued or reissued free of all legends. The Company agrees that following the effective date of any registration statement or at such time as such legend is no longer required under this Section 4.1(c), it will, no later than two Trading Days following the delivery by a Purchaser to the Company or the Transfer Agent of a certificate representing restricted Shares or Warrant Shares, as applicable, issued with a restrictive legend (such second Trading Day, the “</w:t>
      </w:r>
      <w:r>
        <w:rPr>
          <w:rFonts w:ascii="Times New Roman" w:cs="Times New Roman" w:eastAsia="Times New Roman" w:hAnsi="Times New Roman"/>
          <w:sz w:val="18"/>
          <w:szCs w:val="18"/>
          <w:b w:val="1"/>
          <w:bCs w:val="1"/>
          <w:color w:val="auto"/>
        </w:rPr>
        <w:t>Legend Removal Date</w:t>
      </w:r>
      <w:r>
        <w:rPr>
          <w:rFonts w:ascii="Times New Roman" w:cs="Times New Roman" w:eastAsia="Times New Roman" w:hAnsi="Times New Roman"/>
          <w:sz w:val="18"/>
          <w:szCs w:val="18"/>
          <w:color w:val="auto"/>
        </w:rPr>
        <w:t xml:space="preserve">”), deliver or cause to be delivered to such Purchaser a certificate representing such Shares or Warrant Shares that is free from all restrictive and other legends. The Company may not make any notation on its records or give instructions to the Transfer Agent that enlarge the restrictions on transfer set forth in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Certificates for Shares or Warrant Shares subject to legend removal hereunder shall be transmitted by the Transfer Agent to the Purchaser by crediting the account of the Purchaser’s prime broker with the Depository Trust Company system as directed by such Purchaser. The Company shall be responsible for any delays caused by its Transfer Agent.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7" w:name="page58"/>
    <w:bookmarkEnd w:id="57"/>
    <w:p>
      <w:pPr>
        <w:jc w:val="both"/>
        <w:ind w:firstLine="644"/>
        <w:spacing w:after="0" w:line="252" w:lineRule="auto"/>
        <w:tabs>
          <w:tab w:leader="none" w:pos="90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such Purchaser’s other available remedies, subject to </w:t>
      </w:r>
      <w:r>
        <w:rPr>
          <w:rFonts w:ascii="Times New Roman" w:cs="Times New Roman" w:eastAsia="Times New Roman" w:hAnsi="Times New Roman"/>
          <w:sz w:val="18"/>
          <w:szCs w:val="18"/>
          <w:u w:val="single" w:color="auto"/>
          <w:color w:val="auto"/>
        </w:rPr>
        <w:t>Section 5.18(a)</w:t>
      </w:r>
      <w:r>
        <w:rPr>
          <w:rFonts w:ascii="Times New Roman" w:cs="Times New Roman" w:eastAsia="Times New Roman" w:hAnsi="Times New Roman"/>
          <w:sz w:val="18"/>
          <w:szCs w:val="18"/>
          <w:color w:val="auto"/>
        </w:rPr>
        <w:t xml:space="preserve"> but not </w:t>
      </w:r>
      <w:r>
        <w:rPr>
          <w:rFonts w:ascii="Times New Roman" w:cs="Times New Roman" w:eastAsia="Times New Roman" w:hAnsi="Times New Roman"/>
          <w:sz w:val="18"/>
          <w:szCs w:val="18"/>
          <w:u w:val="single" w:color="auto"/>
          <w:color w:val="auto"/>
        </w:rPr>
        <w:t>Section 5.18(b)</w:t>
      </w:r>
      <w:r>
        <w:rPr>
          <w:rFonts w:ascii="Times New Roman" w:cs="Times New Roman" w:eastAsia="Times New Roman" w:hAnsi="Times New Roman"/>
          <w:sz w:val="18"/>
          <w:szCs w:val="18"/>
          <w:color w:val="auto"/>
        </w:rPr>
        <w:t xml:space="preserve">, (i) the Company shall pay to a Purchaser, in cash, as partial liquidated damages and not as a penalty, for each $1,000 of the Shares or Warrant Shares subject to such request, $10 per Trading Day for each Trading Day after the Legend Removal Date (increasing to $20 per Trading Day after the fifth Trading Day) until such certificate is delivered without a legend. Nothing herein shall limit such Purchaser’s right to pursue actual damages for the Company’s failure to deliver certificates representing any Securities as required by the Transaction Documents, and such Purchaser shall have the right to pursue all remedies available to it at law or in equity including, without limitation, a decree of specific performance and/or injunctive relief, and (ii) if after the Legend Removal Date such Purchaser purchases (in an open market transaction or otherwise) shares of Common Stock to deliver in satisfaction of a sale by such Purchaser of all or any portion of the number of Shares or Warrant Shares, or a sale of a number of Shares or Warrant Shares equal to all or any portion of the number of Shares or Warrant Shares that such Purchaser anticipated receiving from the Company without any restrictive legend, then, the Company shall pay to such Purchaser, in cash, an amount equal to the excess of such Purchaser’s total purchase price (including brokerage commissions and other out-of-pocket expenses, if any) for the shares of Common Stock so purchased (including brokerage commissions and other out-of-pocket expenses, if any) over the product of (A) such number of Shares or Warrant Shares that the Company was required to deliver to such Purchaser by the Legend Removal Date multiplied by (B) the highest closing sale price of the Common Stock on any Trading Day during the period commencing on the date of the delivery by such Purchaser to the Company of the applicable Warrant Shares and ending on the date of such delivery and payment under this </w:t>
      </w:r>
      <w:r>
        <w:rPr>
          <w:rFonts w:ascii="Times New Roman" w:cs="Times New Roman" w:eastAsia="Times New Roman" w:hAnsi="Times New Roman"/>
          <w:sz w:val="18"/>
          <w:szCs w:val="18"/>
          <w:u w:val="single" w:color="auto"/>
          <w:color w:val="auto"/>
        </w:rPr>
        <w:t>Section 4.1(d)</w:t>
      </w:r>
      <w:r>
        <w:rPr>
          <w:rFonts w:ascii="Times New Roman" w:cs="Times New Roman" w:eastAsia="Times New Roman" w:hAnsi="Times New Roman"/>
          <w:sz w:val="18"/>
          <w:szCs w:val="18"/>
          <w:color w:val="auto"/>
        </w:rPr>
        <w:t>.</w:t>
      </w:r>
    </w:p>
    <w:p>
      <w:pPr>
        <w:spacing w:after="0" w:line="195" w:lineRule="exact"/>
        <w:rPr>
          <w:rFonts w:ascii="Times New Roman" w:cs="Times New Roman" w:eastAsia="Times New Roman" w:hAnsi="Times New Roman"/>
          <w:sz w:val="18"/>
          <w:szCs w:val="18"/>
          <w:color w:val="auto"/>
        </w:rPr>
      </w:pPr>
    </w:p>
    <w:p>
      <w:pPr>
        <w:jc w:val="both"/>
        <w:ind w:firstLine="644"/>
        <w:spacing w:after="0" w:line="253" w:lineRule="auto"/>
        <w:tabs>
          <w:tab w:leader="none" w:pos="90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a Purchaser shall request delivery of unlegended shares as described in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and the Company is required to deliver such unlegended shares, (i) it shall pay all fees and expenses associated with or required by the legend removal and/or transfer including but not limited to legal fees, Transfer Agent fees and overnight delivery charges and taxes, if any, imposed by any applicable government upon the issuance of Common Stock; and (ii) the Company may not refuse to deliver unlegended shares based on any claim that such Purchaser or anyone associated or affiliated with such Purchaser has not complied with Purchaser’s obligations under the Transaction Documents, or for any other reason, unless, an injunction or temporary restraining order from a court, on notice, restraining and or enjoining delivery of such unlegended shares shall have been sought and obtained by the Company and the Company has posted a surety bond for the benefit of such Purchaser in the amount of the greater of (i) 150% of the amount of the aggregate purchase price of the applicable Shares or Warrant Shares, or (ii) the highest VWAP during the five (5) Trading Days before the issue date of the injunction multiplied by the number of unlegended shares to be subject to the injunction, which bond shall remain in effect until the completion of the litigation of the dispute and the proceeds of which shall be payable to such Purchaser to the extent Purchaser obtains judgment in Purchaser’s favor.</w:t>
      </w:r>
    </w:p>
    <w:p>
      <w:pPr>
        <w:spacing w:after="0" w:line="191" w:lineRule="exact"/>
        <w:rPr>
          <w:rFonts w:ascii="Times New Roman" w:cs="Times New Roman" w:eastAsia="Times New Roman" w:hAnsi="Times New Roman"/>
          <w:sz w:val="18"/>
          <w:szCs w:val="18"/>
          <w:color w:val="auto"/>
        </w:rPr>
      </w:pPr>
    </w:p>
    <w:p>
      <w:pPr>
        <w:jc w:val="both"/>
        <w:ind w:firstLine="644"/>
        <w:spacing w:after="0" w:line="261" w:lineRule="auto"/>
        <w:tabs>
          <w:tab w:leader="none" w:pos="87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 pay the reasonable legal fees of the Purchaser’s choice (provided such counsel is reasonably acceptable to the Company) (in an amount not to exceed $500 per legal opinion, and not more often than once per week per Purchaser) in connection with the issuance of Shares or the exercise of the Pre-Funded Warrants, and (B) cause its attorneys to promptly provide any opinion or reliance opinion to the Transfer Agent.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Furnishing of Information; Public Information.</w:t>
      </w:r>
    </w:p>
    <w:p>
      <w:pPr>
        <w:spacing w:after="0" w:line="225" w:lineRule="exact"/>
        <w:rPr>
          <w:sz w:val="20"/>
          <w:szCs w:val="20"/>
          <w:color w:val="auto"/>
        </w:rPr>
      </w:pPr>
    </w:p>
    <w:p>
      <w:pPr>
        <w:jc w:val="both"/>
        <w:ind w:firstLine="644"/>
        <w:spacing w:after="0" w:line="266" w:lineRule="auto"/>
        <w:tabs>
          <w:tab w:leader="none" w:pos="89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earliest of the time that no Purchaser owns Securities, the Company covenants to use its reasonable best efforts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17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58" w:name="page59"/>
    <w:bookmarkEnd w:id="58"/>
    <w:p>
      <w:pPr>
        <w:jc w:val="both"/>
        <w:ind w:left="660" w:firstLine="644"/>
        <w:spacing w:after="0" w:line="253" w:lineRule="auto"/>
        <w:tabs>
          <w:tab w:leader="none" w:pos="155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during the period commencing from the six (6) month anniversary of the Closing Date and ending at such time that all of the Securities may be sold without the requirement for the Company to be in compliance with Rule 144(c)(1) and otherwise without restriction or limitation pursuant to Rule 144, if the Company (i) shall fail for any reason to satisfy the current public information requirement under Rule 144(c) or (ii) has ever been an issuer described in Rule 144(i)(1)(i) or becomes an issuer in the future, and the Company shall fail to satisfy any condition set forth in Rule 144(i)(2) (a “</w:t>
      </w:r>
      <w:r>
        <w:rPr>
          <w:rFonts w:ascii="Times New Roman" w:cs="Times New Roman" w:eastAsia="Times New Roman" w:hAnsi="Times New Roman"/>
          <w:sz w:val="18"/>
          <w:szCs w:val="18"/>
          <w:b w:val="1"/>
          <w:bCs w:val="1"/>
          <w:color w:val="auto"/>
        </w:rPr>
        <w:t>Public Information Failure</w:t>
      </w:r>
      <w:r>
        <w:rPr>
          <w:rFonts w:ascii="Times New Roman" w:cs="Times New Roman" w:eastAsia="Times New Roman" w:hAnsi="Times New Roman"/>
          <w:sz w:val="18"/>
          <w:szCs w:val="18"/>
          <w:color w:val="auto"/>
        </w:rPr>
        <w:t>”), then, in addition to such Purchaser’s other available remedies, the Company shall pay to such Purchaser, in cash, as partial liquidated damages and not as a penalty, by reason of any such delay in or reduction of its ability to sell the applicable Securities, an amount in cash equal to one percent (1.0%) of the Applicable Amount on the day of a Public Information Failure and on every thirtieth (30th) day (pro rated for periods totaling less than thirty days) thereafter until the earlier of (a) the date such Public Information Failure is cured and (b) such time that such public information is no longer required for the Purchaser to transfer the Securities pursuant to Rule 144.</w:t>
      </w:r>
    </w:p>
    <w:p>
      <w:pPr>
        <w:spacing w:after="0" w:line="190" w:lineRule="exact"/>
        <w:rPr>
          <w:sz w:val="20"/>
          <w:szCs w:val="20"/>
          <w:color w:val="auto"/>
        </w:rPr>
      </w:pPr>
    </w:p>
    <w:p>
      <w:pPr>
        <w:jc w:val="both"/>
        <w:ind w:left="660" w:firstLine="648"/>
        <w:spacing w:after="0" w:line="268" w:lineRule="auto"/>
        <w:rPr>
          <w:sz w:val="20"/>
          <w:szCs w:val="20"/>
          <w:color w:val="auto"/>
        </w:rPr>
      </w:pPr>
      <w:r>
        <w:rPr>
          <w:rFonts w:ascii="Times New Roman" w:cs="Times New Roman" w:eastAsia="Times New Roman" w:hAnsi="Times New Roman"/>
          <w:sz w:val="18"/>
          <w:szCs w:val="18"/>
          <w:color w:val="auto"/>
        </w:rPr>
        <w:t xml:space="preserve">For purposes of this Section, the term </w:t>
      </w:r>
      <w:r>
        <w:rPr>
          <w:rFonts w:ascii="Times New Roman" w:cs="Times New Roman" w:eastAsia="Times New Roman" w:hAnsi="Times New Roman"/>
          <w:sz w:val="18"/>
          <w:szCs w:val="18"/>
          <w:b w:val="1"/>
          <w:bCs w:val="1"/>
          <w:color w:val="auto"/>
        </w:rPr>
        <w:t>“Applicable Amount”</w:t>
      </w:r>
      <w:r>
        <w:rPr>
          <w:rFonts w:ascii="Times New Roman" w:cs="Times New Roman" w:eastAsia="Times New Roman" w:hAnsi="Times New Roman"/>
          <w:sz w:val="18"/>
          <w:szCs w:val="18"/>
          <w:color w:val="auto"/>
        </w:rPr>
        <w:t xml:space="preserve"> means the aggregate Purchase Price paid by such Purchaser for Securities on the day of a Public Information Failure and on every thirtieth (30th) day thereafter until the earlier of the cure of such Public Information Failure or such time that public information is no longer required under Rule 144 for transfer.</w:t>
      </w:r>
    </w:p>
    <w:p>
      <w:pPr>
        <w:spacing w:after="0" w:line="17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Public Information Failure payments shall be paid on the earlier of (i) the last day of the calendar month during which such payments are incurred and (ii) the third (3rd) Business Day after the event or failure giving rise to such payments is cured. In the event the Company fails to make Public Information Failure payments in a timely manner, such payments shall bear interest at the rate of 1.5% per month (pro rated for partial months) until paid in full.</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Nothing herein shall limit the Purchaser’s right to pursue actual damages for the Public Information Failure, and the Purchaser shall have the right to pursue all remedies available to it at law or in equity, including, without limitation, a decree of specific performance and/or injunctive relief.</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 Section 2(a)(1) of the Securities Act) that would be integrated with the offer or sale of the Securities for purposes of the rules and regulations of any Principal Market such that it would require shareholder approval prior to the closing of such other transaction unless shareholder approval is obtained before the closing of such subsequent transaction.</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Securities Laws Disclosure; Publicity</w:t>
      </w:r>
      <w:r>
        <w:rPr>
          <w:rFonts w:ascii="Times New Roman" w:cs="Times New Roman" w:eastAsia="Times New Roman" w:hAnsi="Times New Roman"/>
          <w:sz w:val="18"/>
          <w:szCs w:val="18"/>
          <w:color w:val="auto"/>
        </w:rPr>
        <w:t xml:space="preserve">. The Company shall file a press release disclosing the material terms of this Agreement, prior to 9:00 AM (New York Time) on the first Trading Day after the date hereof. The Company shall file a Current Report on Form 8-K prior to its due date in accordance with the SEC’s rules. From and after the filing of the press release as provided in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the Company represents to each Purchaser that it shall have publicly disclosed all material, non-public information delivered to each Purchaser by the Company or any of its Subsidiaries, or any of their respective officers, directors, employees or agents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employees or Affiliates on the one hand, and any of the Purchasers or any of their Affiliates on the other hand, shall terminate. The Company and each Purchaser shall consult with each other in issuing any press releases with respect to the transactions contemplated hereby, and neither the Company nor any Purchaser shall issue any such press release nor otherwise make any such public statement (other than the press release as provided in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the Form 8-K approved by Purchaser, and the registration statement registering the resale of the Securities)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SEC or any regulatory agency or Principal Market, without the prior written consent of such Purchaser, except (a) as required by the staff of the SEC in connection with the filing of final Transaction Documents with the SEC and (b) to the extent such disclosure is required by law or Principal Market regulations, in which case the Company shall provide the Purchasers with prior notice of such disclosure permitted under this clause (b).</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9" w:name="page60"/>
    <w:bookmarkEnd w:id="5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Shareholder Rights Plan</w:t>
      </w:r>
      <w:r>
        <w:rPr>
          <w:rFonts w:ascii="Times New Roman" w:cs="Times New Roman" w:eastAsia="Times New Roman" w:hAnsi="Times New Roman"/>
          <w:sz w:val="18"/>
          <w:szCs w:val="18"/>
          <w:color w:val="auto"/>
        </w:rPr>
        <w:t>. No claim will be made or enforced by the Company or, with the consent of the Company, any other Person, that any Purchaser is an “Acquiring Person”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any Purchaser.</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xml:space="preserve">. Except with respect to the material terms and conditions of the transactions contemplated by the Transaction Documents, which shall be disclosed pursuant to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to the receipt of such information and agreed with the Company to keep such information confidential. To the extent that any notice provided pursuant to any Transaction Document or any other communications made by the Company, or information provided, to any Purchaser constitutes, or contains, material, non-public information regarding the Company or any Subsidiaries, and such information was provided without such Purchaser’s prior written consent, the Company shall simultaneously file material non-public information with the SEC pursuant to a Current Report on Form 8-K. The Company understands and confirms that each Purchaser shall be relying on the foregoing covenant in effecting transactions in securities of the Company. To the extent that the Company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agents, employees or Affiliates, not to trade on the basis of, such material, non-public information, provided that the Purchaser shall remain subject to applicable law. The Company understands and confirms that each Purchaser shall be relying on the foregoing covenant in effecting transactions in securities of the Company. In addition to any other remedies provided by this Agreement or other Transaction Documents, if the Company provides any material, non-public information to the Purchasers without their prior written consent, and it fails to immediately (no later than the next Trading Day) file a Form 8-K disclosing this material, non-public information, it shall, subject to </w:t>
      </w:r>
      <w:r>
        <w:rPr>
          <w:rFonts w:ascii="Times New Roman" w:cs="Times New Roman" w:eastAsia="Times New Roman" w:hAnsi="Times New Roman"/>
          <w:sz w:val="18"/>
          <w:szCs w:val="18"/>
          <w:u w:val="single" w:color="auto"/>
          <w:color w:val="auto"/>
        </w:rPr>
        <w:t>Section 5.18</w:t>
      </w:r>
      <w:r>
        <w:rPr>
          <w:rFonts w:ascii="Times New Roman" w:cs="Times New Roman" w:eastAsia="Times New Roman" w:hAnsi="Times New Roman"/>
          <w:sz w:val="18"/>
          <w:szCs w:val="18"/>
          <w:color w:val="auto"/>
        </w:rPr>
        <w:t>, pay each Purchasers as partial liquidated damages and not as a penalty a sum equal to $500 per day for each $100,000 of each Purchaser’s Subscription Amount beginning with the day the information is disclosed to the Purchaser and ending and including the day the Form 8-K disclosing this information is filed; provided that no such liquidated damages shall be owed to any Purchaser not then holding Securities.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shall use the net proceeds from the sale of Securities hereunder at the Initial Closing for marketing and working capital purposes and shall not use such proceeds: (a) for the satisfaction of any debt, (b) for the redemption of any Common Stock or Common Stock Equivalents, (c) for the settlement of any outstanding litigation, (d) in violation of FCPA or OFAC regulations, (e) to lend money, give credit, or make advances to any officers, directors, employees or affiliates of the Company or (f) for the purchase of real estate; notwithstanding anything herein to the contrary, Company may use net proceeds in the amounts of $620,000 and $507,000 to Eirgenix, Inc. and B&amp;I Contractors, Inc., respectively for the settlement of debt and litigation.</w:t>
      </w:r>
    </w:p>
    <w:p>
      <w:pPr>
        <w:spacing w:after="0" w:line="18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Indemnification of the Purchasers</w:t>
      </w:r>
      <w:r>
        <w:rPr>
          <w:rFonts w:ascii="Times New Roman" w:cs="Times New Roman" w:eastAsia="Times New Roman" w:hAnsi="Times New Roman"/>
          <w:sz w:val="18"/>
          <w:szCs w:val="18"/>
          <w:color w:val="auto"/>
        </w:rPr>
        <w:t xml:space="preserve">. Subject to the provisions of this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the Company will indemnify and hold the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 w:cs="Times New Roman" w:eastAsia="Times New Roman" w:hAnsi="Times New Roman"/>
          <w:sz w:val="18"/>
          <w:szCs w:val="18"/>
          <w:b w:val="1"/>
          <w:bCs w:val="1"/>
          <w:color w:val="auto"/>
        </w:rPr>
        <w:t>Purchaser Party</w:t>
      </w:r>
      <w:r>
        <w:rPr>
          <w:rFonts w:ascii="Times New Roman" w:cs="Times New Roman" w:eastAsia="Times New Roman" w:hAnsi="Times New Roman"/>
          <w:sz w:val="18"/>
          <w:szCs w:val="18"/>
          <w:color w:val="auto"/>
        </w:rPr>
        <w:t xml:space="preserve">”) harmless from any and all losses, liabilities, obligations, claims, contingencies, damages, costs and expenses, including all judgments, amounts paid in settlements, court costs and reasonable attorneys ‘fees and costs of investigation (including local counsel, if retained)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shareholder of the Company who is not an Affiliate of such Purchaser Party, with respect to any of the transactions contemplated by the Transaction Documents (unless such action is based upon a breach of such Purchaser Party’s representations, warranties or covenants under the Transaction Documents or any agreements or understandings such Purchaser Party may have with any such shareholder or any conduct by such Purchaser Party which constitutes willful misconduct or gross negligence).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to the Purchaser Party, a material conflict on any material issue between the position of the Company and the position of such Purchaser Party, in which case the Company shall be responsible for the reasonable fees and expenses of no more than one such separate counsel for such Purchaser (in addition to local counsel, if retained).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warranties, covenants or agreements made by such Purchaser Party in this Agreement or in the other Transaction Documents. The Purchaser Parties shall have the right to settle any action against any of them by the payment of money provided that they cannot agree to any equitable relief and the Company, its officers, directors and Affiliates receive unconditional releases in customary form. The indemnification required by this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0" w:name="page61"/>
    <w:bookmarkEnd w:id="6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Reservation of Common Stock</w:t>
      </w:r>
      <w:r>
        <w:rPr>
          <w:rFonts w:ascii="Times New Roman" w:cs="Times New Roman" w:eastAsia="Times New Roman" w:hAnsi="Times New Roman"/>
          <w:sz w:val="18"/>
          <w:szCs w:val="18"/>
          <w:color w:val="auto"/>
        </w:rPr>
        <w:t>. Immediately upon the Closing, the Company shall reserve from its duly authorized and unissued Common Stock a number of shares equal to the sum of (i) the number of shares of Common Stock then issuable upon exercise of all the Pre-Funded Warrants and (ii) the number of shares of Common Stock then issuable upon exercise of all the Common Warrants (the “</w:t>
      </w:r>
      <w:r>
        <w:rPr>
          <w:rFonts w:ascii="Times New Roman" w:cs="Times New Roman" w:eastAsia="Times New Roman" w:hAnsi="Times New Roman"/>
          <w:sz w:val="18"/>
          <w:szCs w:val="18"/>
          <w:b w:val="1"/>
          <w:bCs w:val="1"/>
          <w:color w:val="auto"/>
        </w:rPr>
        <w:t>Reserved Amount</w:t>
      </w:r>
      <w:r>
        <w:rPr>
          <w:rFonts w:ascii="Times New Roman" w:cs="Times New Roman" w:eastAsia="Times New Roman" w:hAnsi="Times New Roman"/>
          <w:sz w:val="18"/>
          <w:szCs w:val="18"/>
          <w:color w:val="auto"/>
        </w:rPr>
        <w:t xml:space="preserve">”). The Company shall execute, and shall cause its transfer agent to execute and deliver, a reservation letter in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and shall take all necessary action to ensure the Reserved Amount is maintained at all times until the Pre-Funded Warrants and the Common Warrants have been exercised in full.</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Listing of Common Stock</w:t>
      </w:r>
      <w:r>
        <w:rPr>
          <w:rFonts w:ascii="Times New Roman" w:cs="Times New Roman" w:eastAsia="Times New Roman" w:hAnsi="Times New Roman"/>
          <w:sz w:val="18"/>
          <w:szCs w:val="18"/>
          <w:color w:val="auto"/>
        </w:rPr>
        <w:t>. The Company hereby agrees to use its reasonable best efforts to maintain the listing or quotation of the Common Stock on the Principal Market on which it is currently listed or quoted. The Company will then take all action necessary to continue the listing and trading of its Common Stock on a Principal Market and will comply in all respects with the Company’s reporting, filing and other obligations under the bylaws or rules of the Principal Market. The Company agrees to maintain the eligibility of the Common Stock for electronic transfer through the DTC or another established clearing corporation, including, without limitation, by timely payment of fees to the DTC or such other established clearing corporation in connection with such electronic transfer.</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Equal Treatment of Purchasers</w:t>
      </w:r>
      <w:r>
        <w:rPr>
          <w:rFonts w:ascii="Times New Roman" w:cs="Times New Roman" w:eastAsia="Times New Roman" w:hAnsi="Times New Roman"/>
          <w:sz w:val="18"/>
          <w:szCs w:val="18"/>
          <w:color w:val="auto"/>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xml:space="preserve">.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Each Purchaser, severally and not jointly with the other Purchasers, covenants that until such time as the transactions contemplated by this Agreement are publicly disclosed by the Company pursuant to the initial press release as described in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such Purchaser will maintain the confidentiality of the existence and terms of this transaction and the information included in the Disclosure Schedules.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and (iii) no Purchaser shall have any duty of confidentiality or duty not to trade in the securities of the Company to the Company or its Subsidiaries after the issuance of the initial press release as described in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1" w:name="page62"/>
    <w:bookmarkEnd w:id="6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Preservation of Corporate Existence</w:t>
      </w:r>
      <w:r>
        <w:rPr>
          <w:rFonts w:ascii="Times New Roman" w:cs="Times New Roman" w:eastAsia="Times New Roman" w:hAnsi="Times New Roman"/>
          <w:sz w:val="18"/>
          <w:szCs w:val="18"/>
          <w:color w:val="auto"/>
        </w:rPr>
        <w:t>. The Company shall preserve and maintain its corporate existence, rights, privileges and franchises in the jurisdiction of its incorporation, and qualify and remain qualified, as a foreign corporation in each jurisdiction in which such qualification is necessary in view of its business or operations and where the failure to qualify or remain qualified might reasonably have a Material Adverse Effect upon the financial condition, business or operations of the Company taken as a whole.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4.17. </w:t>
      </w:r>
      <w:r>
        <w:rPr>
          <w:rFonts w:ascii="Times New Roman" w:cs="Times New Roman" w:eastAsia="Times New Roman" w:hAnsi="Times New Roman"/>
          <w:sz w:val="18"/>
          <w:szCs w:val="18"/>
          <w:u w:val="single" w:color="auto"/>
          <w:color w:val="auto"/>
        </w:rPr>
        <w:t>No Registration of Securities</w:t>
      </w:r>
      <w:r>
        <w:rPr>
          <w:rFonts w:ascii="Times New Roman" w:cs="Times New Roman" w:eastAsia="Times New Roman" w:hAnsi="Times New Roman"/>
          <w:sz w:val="18"/>
          <w:szCs w:val="18"/>
          <w:color w:val="auto"/>
        </w:rPr>
        <w:t xml:space="preserve">. Except as disclosed on </w:t>
      </w:r>
      <w:r>
        <w:rPr>
          <w:rFonts w:ascii="Times New Roman" w:cs="Times New Roman" w:eastAsia="Times New Roman" w:hAnsi="Times New Roman"/>
          <w:sz w:val="18"/>
          <w:szCs w:val="18"/>
          <w:u w:val="single" w:color="auto"/>
          <w:color w:val="auto"/>
        </w:rPr>
        <w:t>Schedule 4.18</w:t>
      </w:r>
      <w:r>
        <w:rPr>
          <w:rFonts w:ascii="Times New Roman" w:cs="Times New Roman" w:eastAsia="Times New Roman" w:hAnsi="Times New Roman"/>
          <w:sz w:val="18"/>
          <w:szCs w:val="18"/>
          <w:color w:val="auto"/>
        </w:rPr>
        <w:t>, while any Securities are outstanding, the Company will not file any registration statements to register sales of Common Stock, including shares underlying any derivative securities, unless a registration statement is then in effect for the resale by the Purchasers of the Shares and the Warrant Shares.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4.18. </w:t>
      </w:r>
      <w:r>
        <w:rPr>
          <w:rFonts w:ascii="Times New Roman" w:cs="Times New Roman" w:eastAsia="Times New Roman" w:hAnsi="Times New Roman"/>
          <w:sz w:val="18"/>
          <w:szCs w:val="18"/>
          <w:u w:val="single" w:color="auto"/>
          <w:color w:val="auto"/>
        </w:rPr>
        <w:t>Form D; Blue Sky Filings</w:t>
      </w:r>
      <w:r>
        <w:rPr>
          <w:rFonts w:ascii="Times New Roman" w:cs="Times New Roman" w:eastAsia="Times New Roman" w:hAnsi="Times New Roman"/>
          <w:sz w:val="18"/>
          <w:szCs w:val="18"/>
          <w:color w:val="auto"/>
        </w:rPr>
        <w:t>. The Company shall take such actions as it reasonably determines are necessary to qualify the Securities for sale to the Purchasers, or to secure an exemption from such qualification, under applicable state securities or “Blue Sky” laws of the jurisdictions in which offers and sales of the Securities are made, and shall furnish evidence of such actions promptly upon request of any Purchaser. The Company shall file, or cause to be filed, a Form D with the SEC with respect to the Securities as required under Regulation D promulgated under the Securities Act, and shall provide a copy of such filing to the Purchasers upon request.</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4.19. Prohibition on Variable Rate Transactions and ATM Offerings and other Equity Issuances. </w:t>
      </w:r>
      <w:r>
        <w:rPr>
          <w:rFonts w:ascii="Times New Roman" w:cs="Times New Roman" w:eastAsia="Times New Roman" w:hAnsi="Times New Roman"/>
          <w:sz w:val="18"/>
          <w:szCs w:val="18"/>
          <w:color w:val="auto"/>
        </w:rPr>
        <w:t>From the date hereof until the date that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sixty (60) days after the Effective Date (as defined in the Registration Rights Agreement) of the initial Registration Statement covering the resale of the Shares, the Pre-Funded Warrant Shares and the Common Warrant Shares, neither the Company nor any Subsidiary shall, directly or indirectly, effect or enter into any agreement to effect (a) any issuance by the Company or any of its Subsidiaries of Common Stock or Common Stock Equivalents (or a combination of units thereof) involving a Variable Rate Transaction, (b) any “at-the-market offering” (as defined in Rule 415(a)(4) under the Securities Act), equity line of credit, standby equity purchase agreement or other similar continuous offering arrangement of Common Stock or Common Stock Equivalents pursuant to which the Company may sell Common Stock or Common Stock Equivalents from time to time at a future-determined price, or (c) any other issuance of Common Stock or Common Stock Equivalents. Any agreement entered into in violation of this Section 4.19 shall be deemed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with respect to the Purchasers, and each Purchaser shall be entitled to obtain injunctive relief against the Company to preclude any such issuance, which remedy shall be in addition to any right to collect damages.</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4.20. </w:t>
      </w:r>
      <w:r>
        <w:rPr>
          <w:rFonts w:ascii="Times New Roman" w:cs="Times New Roman" w:eastAsia="Times New Roman" w:hAnsi="Times New Roman"/>
          <w:sz w:val="18"/>
          <w:szCs w:val="18"/>
          <w:u w:val="single" w:color="auto"/>
          <w:color w:val="auto"/>
        </w:rPr>
        <w:t>Lock-Up Agreements; Company Standstill</w:t>
      </w:r>
      <w:r>
        <w:rPr>
          <w:rFonts w:ascii="Times New Roman" w:cs="Times New Roman" w:eastAsia="Times New Roman" w:hAnsi="Times New Roman"/>
          <w:sz w:val="18"/>
          <w:szCs w:val="18"/>
          <w:color w:val="auto"/>
        </w:rPr>
        <w:t>. The Company shall cause each of its directors, executive officers, holders of five percent (5%)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more of the Company’s outstanding Common Stock, and the other Persons set forth on Schedule B hereto to execute and deliver to the Placement Agent the Lock-Up Agreements, pursuant to which each such Person shall agree not to, directly or indirectly, offer, sell, contract to sell, grant any option to purchase, or otherwise dispose of any shares of the Company’s securities during the six (6) month period following the Closing Date, subject to customary exceptions. In addition, the Company hereby agrees that it shall not, directly or indirectly, offer, sell, contract to sell, issue, or otherwise dispose of any shares of the Company’s securities during the sixty (60) day period following the Effective Date, subject to customary exceptions. The Company shall not amend, modify, waive or terminate any provision of any of the Lock-Up Agreements except to extend the term of the lock-up period and shall enforce the provisions of each Lock-Up Agreement in accordance with its terms. If any party to a Lock-Up Agreement breaches any provision of a Lock-Up Agreement, the Company shall promptly use its best efforts to seek specific performance of the terms of such Lock-Up Agreement.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2" w:name="page63"/>
    <w:bookmarkEnd w:id="62"/>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4.21. Exercise Procedures. </w:t>
      </w:r>
      <w:r>
        <w:rPr>
          <w:rFonts w:ascii="Times New Roman" w:cs="Times New Roman" w:eastAsia="Times New Roman" w:hAnsi="Times New Roman"/>
          <w:sz w:val="18"/>
          <w:szCs w:val="18"/>
          <w:color w:val="auto"/>
        </w:rPr>
        <w:t>The form of Notice of Exercise included in the Pre-Funded Warrants and the Common Warrants sets forth the totality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procedures required of the Purchasers in order to exercise the Pre-Funded Warrants and the Common Warrants. No additional legal opinion, other information or instructions shall be required of the Purchasers to exercise the Pre-Funded Warrants or the Common Warrants. Without limiting the preceding sentences, no ink-original Notice of Exercise shall be required, nor shall any medallion guarantee (or other type of guarantee or notarization) of any Notice of Exercise form be required in order to exercise the Pre-Funded Warrants or the Common Warrants. The Company shall honor exercises of the Pre-Funded Warrants and the Common Warrants and shall deliver Warrant Shares in accordance with the terms, conditions and time periods set forth in the Transaction Documents.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may be terminated by any Purchaser, as to such Purchaser’s obligations hereunder only and without any effect whatsoever on the obligations between the Company and the other Purchasers, by written notice to the other parties, if the Closing has not been consummated on or before May 25, 2026;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termination will affect the right of any party to sue for any breach by any other party (or parties).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xml:space="preserve">. Except as expressly set forth in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and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date of transmission, if such notice or communication is delivered via facsimile or email attachment at the facsimile number or email address as set forth on the signature pages attached hereto at or prior to 5:30 p.m. (New York City time) on a Trading Day, (b) the next Trading Day after the date of transmission, if such notice or communication is delivered via facsimile or email attachment at the facsimile number or email address as set forth on the signature pages attached hereto on a day that is not a Trading Day or later than 5:30 p.m. (New York City time) on any Trading Day, (c) the second Trading Day following the date of mailing, if sent by U.S. nationally recognized overnight courier service or</w:t>
      </w:r>
    </w:p>
    <w:p>
      <w:pPr>
        <w:spacing w:after="0" w:line="5" w:lineRule="exact"/>
        <w:rPr>
          <w:sz w:val="20"/>
          <w:szCs w:val="20"/>
          <w:color w:val="auto"/>
        </w:rPr>
      </w:pPr>
    </w:p>
    <w:p>
      <w:pPr>
        <w:ind w:right="20" w:firstLine="8"/>
        <w:spacing w:after="0" w:line="260" w:lineRule="auto"/>
        <w:tabs>
          <w:tab w:leader="none" w:pos="261"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actual receipt by the party to whom such notice is required to be given. The address for such notices and communications shall be as set forth on the signature pages attached hereto.</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xml:space="preserve">. Except as provided in the last sentence of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no provision of this Agreement may be waived, modified, supplemented or amended except in a written instrument signed, in the case of an amendment, by the Company and the Purchaser’s which hold at least 50.1% in interest in the Securities at the time of such amendment or waiver or, in the case of a waiver, by the party against whom enforcement of any such waived provision is sought;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amendment, modification or waiver disproportionately and adversely impacts a Purchaser (or group of Purchasers), the consent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accordance with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shall be binding upon each Purchaser and holder of Securities and the Company.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3" w:name="page64"/>
    <w:bookmarkEnd w:id="6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xml:space="preserve">. The Placement Agents shall each be a third party beneficiary of the representations, warranties, and covenants of the Company in this Agreement and the representations, warranties, and covenants of the Purchasers in this Agreement. This Agreement is intended for the benefit of the parties hereto and their respective successors and permitted assigns and is not for the benefit of, nor may any provision hereof be enforced by, any other Person, except as otherwise set forth in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 Exclusive Jurisdiction; Attorneys’ Fees</w:t>
      </w:r>
      <w:r>
        <w:rPr>
          <w:rFonts w:ascii="Times New Roman" w:cs="Times New Roman" w:eastAsia="Times New Roman" w:hAnsi="Times New Roman"/>
          <w:sz w:val="18"/>
          <w:szCs w:val="18"/>
          <w:color w:val="auto"/>
        </w:rPr>
        <w:t>. All questions concerning the construction, validity, enforcement and interpretation of the Transaction Documents shall be governed by and construed and enforced in accordance with the internal laws of the State of Delaware, without regard to the principles of conflicts of law thereof. Each party agrees that all Actions concerning the interpretations, enforcement and defense of the transactions contemplated by this Agreement and any other Transaction Document (whether brought against a party hereto or its respective affiliates, directors, officers, shareholders, partners, members, employees or agents) shall be commenced exclusively in the state and federal courts in New York County, New York. Each party hereby irrevocably submits to the exclusive jurisdiction of the state and federal courts sitting in New York County, New York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any claim that it is not personally subject to the jurisdiction of any such court, that such Action is improper or is an inconvenient venue for such Action. Each party hereby irrevocably waives personal service of process and consents to process being served in any such Action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to enforce any provisions of the Transaction Documents, then, in addition to the obligations of the Company elsewhere in this Agreement, the prevailing party in such Action shall be reimbursed by the non-prevailing party for its reasonable attorneys ‘fees and other costs and expenses incurred with the investigation, preparation and prosecution of such Action.</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contained herein shall survive the Closing and the delivery of the Securities.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4" w:name="page65"/>
    <w:bookmarkEnd w:id="6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Rescission and Withdrawal Right</w:t>
      </w:r>
      <w:r>
        <w:rPr>
          <w:rFonts w:ascii="Times New Roman" w:cs="Times New Roman" w:eastAsia="Times New Roman" w:hAnsi="Times New Roman"/>
          <w:sz w:val="18"/>
          <w:szCs w:val="18"/>
          <w:color w:val="auto"/>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provided, however, that in the case of a rescission of an exercise of a Warrant, the applicable Purchaser shall be required to return any shares of Common Stock subject to any such rescinded exercise notice concurrently with the return to such Purchaser of the aggregate exercise price paid to the Company for such shares and the restoration of such Purchaser’s right to acquire such shares pursuant to such Purchaser’s Warrant (including issuance of a replacement warrant certificate evidencing such restored right).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Replacement of Securities</w:t>
      </w:r>
      <w:r>
        <w:rPr>
          <w:rFonts w:ascii="Times New Roman" w:cs="Times New Roman" w:eastAsia="Times New Roman" w:hAnsi="Times New Roman"/>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without requiring the posting of any bond.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Payment Set Aside</w:t>
      </w:r>
      <w:r>
        <w:rPr>
          <w:rFonts w:ascii="Times New Roman" w:cs="Times New Roman" w:eastAsia="Times New Roman" w:hAnsi="Times New Roman"/>
          <w:sz w:val="18"/>
          <w:szCs w:val="18"/>
          <w:color w:val="auto"/>
        </w:rPr>
        <w:t>. To the extent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Independent Nature of Purchasers’ Obligations and Rights</w:t>
      </w:r>
      <w:r>
        <w:rPr>
          <w:rFonts w:ascii="Times New Roman" w:cs="Times New Roman" w:eastAsia="Times New Roman" w:hAnsi="Times New Roman"/>
          <w:sz w:val="18"/>
          <w:szCs w:val="18"/>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5" w:name="page66"/>
    <w:bookmarkEnd w:id="6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xml:space="preserve"> If the last or appointed day for the taking of any action or the expiration of any right required or granted herein shall not be a Trading Day, then such action may be taken or such right may be exercised on the next succeeding Trading Day.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 IN ANY ACTION, SUIT, OR PROCEEDING IN ANY JURISDICTION BROUGHT BY ANY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AGAINST ANY OTHER PARTY, THE PARTIES EACH KNOWINGLY AND INTENTIONALLY, TO THE GREATEST EXTENT PERMITTED BY APPLICABLE LAW, HEREBY ABSOLUTELY, UNCONDITIONALLY, IRREVOCABLY AND EXPRESSLY WAIVE FOREVER TRIAL BY JURY</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the parties hereto agree that any action, proceeding or claim arising out of or relating in any way to this Agreement or the other Transaction Documents shall be resolved through final and binding arbitration in accordance with the Commercial Arbitration Rules of the American Arbitration Association.</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5.22. </w:t>
      </w:r>
      <w:r>
        <w:rPr>
          <w:rFonts w:ascii="Times New Roman" w:cs="Times New Roman" w:eastAsia="Times New Roman" w:hAnsi="Times New Roman"/>
          <w:sz w:val="18"/>
          <w:szCs w:val="18"/>
          <w:u w:val="single" w:color="auto"/>
          <w:color w:val="auto"/>
        </w:rPr>
        <w:t>Non-Circumvention</w:t>
      </w:r>
      <w:r>
        <w:rPr>
          <w:rFonts w:ascii="Times New Roman" w:cs="Times New Roman" w:eastAsia="Times New Roman" w:hAnsi="Times New Roman"/>
          <w:sz w:val="18"/>
          <w:szCs w:val="18"/>
          <w:color w:val="auto"/>
        </w:rPr>
        <w:t>. The Company hereby covenants and agrees that the Company will not, by amendment of its Charter, including any Certificates of Designation, or Bylaws or through any reorganization, transfer of assets, consolidation, merger, scheme of arrangement, dissolution, issue or sale of securities, or any other voluntary action, avoid or seek to avoid the observance or performance of any of the terms of this Agreement, and will at all times in good faith carry out all of the provision of this Agreement and take all action as may be required to protect the rights of all holders of the Securities. Without limiting the generality of the foregoing or any other provision of this Agreement or the other Transaction Documents, the Company (a) shall not increase the par value of any shares of Common Stock receivable upon exercise of the Pre-Funded Warrants or the Common Warrants above the exercise price of the Pre-Funded Warrants or the Common Warrants, as applicable, then in effect and (b) shall take all such action as may be necessary or appropriate in order that the Company may validly and legally issue fully paid and nonassessable Warrant Shares upon the exercise of the Pre-Funded Warrants and the Common Warrants. Notwithstanding anything herein to the contrary, if after six months from the Initial Closing, a holder is not permitted to exercise the Pre-Funded Warrants or the Common Warrants, in full, for any reason, the Company shall use its best efforts to promptly remedy such failure, including, without limitation, obtaining such consent or approvals as necessary to permit such exercise.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6" w:name="page67"/>
    <w:bookmarkEnd w:id="66"/>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Securities Purchase Agreement to be duly executed by their respective authorized signatories as of the date first indicated above.</w:t>
      </w:r>
    </w:p>
    <w:p>
      <w:pPr>
        <w:spacing w:after="0" w:line="158"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b w:val="1"/>
          <w:bCs w:val="1"/>
          <w:color w:val="auto"/>
        </w:rPr>
        <w:t>HCW BIOLOGICS INC.</w:t>
      </w:r>
      <w:r>
        <w:rPr>
          <w:sz w:val="20"/>
          <w:szCs w:val="20"/>
          <w:color w:val="auto"/>
        </w:rPr>
        <w:tab/>
      </w:r>
      <w:r>
        <w:rPr>
          <w:rFonts w:ascii="Times New Roman" w:cs="Times New Roman" w:eastAsia="Times New Roman" w:hAnsi="Times New Roman"/>
          <w:sz w:val="17"/>
          <w:szCs w:val="17"/>
          <w:u w:val="single" w:color="auto"/>
          <w:color w:val="auto"/>
        </w:rPr>
        <w:t>Address for Notice:</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HCW Biologics Inc.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2929 N. Commerce Pkwy.</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Miramar, FL 33025</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Attn: Hing C. Wong, Ph.D.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Email: hingwong@hcwbiologics.com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Hing C. Wong, Ph.D.</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Clark Hill PLC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130 E. Randolph, Suite 3900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Jim Groth, Esq.</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jgroth@clarkhill.com</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FOR PURCHASER FOLLOWS]</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Signature Page to Securities Purchase Agreement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67" w:name="page68"/>
    <w:bookmarkEnd w:id="67"/>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Securities Purchase Agreement to be duly executed by their respective authorized signatories as of the date first indicated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____________________________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Purchaser</w:t>
      </w:r>
      <w:r>
        <w:rPr>
          <w:rFonts w:ascii="Times New Roman" w:cs="Times New Roman" w:eastAsia="Times New Roman" w:hAnsi="Times New Roman"/>
          <w:sz w:val="18"/>
          <w:szCs w:val="18"/>
          <w:color w:val="auto"/>
        </w:rPr>
        <w:t>: ____________________________________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of Authorized Signatory: 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Number of Authorized Signatory: 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to Purchaser: 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Securities to Purchaser (if not same as address for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Amount: $ 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________________________ Pre-Funded Warrants (in lieu of Shares): 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 Common Stock Purchase Warrants exercisable into _____________shares of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Purchase Price: $________________________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EIN Number: ___________________________</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Purchaser Signature Page to Securities Purchase Agreement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Pre-Funded Warrant</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Registration Rights Agreement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Common Warrant</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Reservation Letter</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Lockup Agreement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REGISTRATION RIGHTS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Registration Rights Agreement (this “Agreement”) is made and entered into as of May 21, 2026 between HCW Biologics Inc., a Delaware corporation (the “Company”), and each purchaser appearing on the signature page to the Purchase Agreement (as defined below) (each such purchaser, a “Purchaser” and, collectively, the “Purchasers”).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the Company and the Purchasers are parties to that certain Securities Purchase Agreement, dated as of the date of this Agreement (the “Purchase Agreement”), pursuant to which the Purchasers are purchasing (i) shares of Common Stock (the “Shares”), (ii) Pre-Funded Warrants (the “Pre-Funded Warrants”) to purchase shares of Common Stock (the “Pre-Funded Warrant Shares”), and (iii) Common Stock Purchase Warrants (the “Common Warrants”) to purchase shares of Common Stock (the “Common Warrant Shares” and together with the Pre-Funded Warrant Shares, the “Warrant Shares”) of the Company; and</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in connection with the consummation of the transactions contemplated by the Purchase Agreement, and pursuant to the terms of the Purchase Agreement, the parties desire to enter into this Agreement in order to grant certain registration rights to the Purchasers as set forth below.</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foregoing and the mutual and dependent covenants hereinafter set forth, the parties agree as follows:</w:t>
      </w:r>
    </w:p>
    <w:p>
      <w:pPr>
        <w:spacing w:after="0" w:line="225" w:lineRule="exact"/>
        <w:rPr>
          <w:sz w:val="20"/>
          <w:szCs w:val="20"/>
          <w:color w:val="auto"/>
        </w:rPr>
      </w:pPr>
    </w:p>
    <w:p>
      <w:pPr>
        <w:ind w:left="660" w:right="3280" w:hanging="4"/>
        <w:spacing w:after="0" w:line="500" w:lineRule="auto"/>
        <w:tabs>
          <w:tab w:leader="none" w:pos="8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As used in this Agreement, the following terms shall have the following meanings: “Advice” shall have the meaning set forth in Section 6(d).</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shall have the meaning set forth in the Preamble.</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“CDI 612.09” means Section 612.09 of the Commission’s Compliance and Disclosure Interpretations.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“Closing” means the closing of the purchase and sale of the Shares, the Pre-Funded Warrants and the Common Warrants pursuant to the Purchase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“Commission” means the U.S. Securities and Exchange Commission.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“Common Stock” means the Company’s common stock, par value $0.0001 per share, and any other class of securities into which such securities may hereafter be reclassified or changed into.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“Company” shall have the meaning set forth in the Preamble.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“Effectiveness Date” means, with respect to the Initial Registration Statement required to be filed hereunder or any other Registration Statement, sixty (60) days following the Closing; provided, however, that (x) in the event the Company is notified by the Commission that one or more of the Registration Statements will not be reviewed or is no longer subject to further review and comments, the Effectiveness Date as to such Registration Statement shall be the earlier of (A) the fifth Trading Day following the date on which the Company is so notified, and (B) the thirtieth (30th) day following the Closing.</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“Effectiveness Period” shall have the meaning set forth in Section 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“Event” shall have the meaning set forth in Section 2(b).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“Event Date” shall have the meaning set forth in Section 2(b).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“Exchange Act” means the Securities Exchange Act of 1934.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4" w:name="page75"/>
    <w:bookmarkEnd w:id="7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“Filing Date” means, with respect to the Initial Registration Statement required hereunder, fifteen (15) days following the Closing, provided, however, that such 15-day period shall be extended on a day-for-day basis for each Trading Day during which the Holders are reviewing such Registration Statement pursuant to Section 3(a), and with respect to any additional Registration Statements which may be required pursuant to this Agreement, the earliest practical date on which the Company is permitted by SEC Guidance to file such additional Registration Statements related to the Registrable Securities.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“Holder” or “Holders” means the holder or holders, as the case may be, from time to time of Registrable Securities.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“Indemnified Party” shall have the meaning set forth in Section 5(b).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“Indemnifying Party” shall have the meaning set forth in Section 5(b).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“Initial Registration Statement” means the initial Registration Statement filed pursuant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“Losses” shall have the meaning set forth in Section 5(b).</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“Person” means an individual, corporation, partnership, joint venture, limited liability company, governmental authority, unincorporated organization, trust, association or other entity.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“Plan of Distribution” shall have the meaning set forth in Section 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“Pre-Funded Warrants” shall have the meaning ascribed to such term in the Purchase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“Pre-Funded Warrant Shares” shall have the meaning ascribed to such term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“Common Warrants” shall have the meaning ascribed to such term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“Common Warrant Shares” shall have the meaning ascribed to such term in the Recitals.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“Proceeding” means any action, claim, suit, investigation or legal proceeding (including, without limitation, an informal investigation or partial proceeding, such as a deposition), whether commenced or threatened.</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“Prospectus” means the prospectus included in a Registration Statement (including, without limitation, a prospectus that includes any information previously omitted from a prospectus filed as part of an effective registration statement in reliance upon Rule 430A promulgated by the Commission pursuant to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“Purchasers”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“Purchase Agreement” shall have the meaning set forth in the Recitals.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“Registrable Securities” means (a) the Shares issued pursuant to the Purchase Agreement, (b) the Pre-Funded Warrant Shares issuable upon exercise of the Pre-Funded Warrants issued pursuant to the Purchase Agreement, (c) the Common Warrant Shares issuable upon exercise of the Common Warrants issued pursuant to the Purchase Agreement, and (d) any securities issued or issuable upon any stock split, dividend or other distribution, recapitalization or similar event with respect to the foregoing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any such Registrable Securities shall cease to be Registrable Securities (and the Company shall not be required to maintain the effectiveness of any, or file another, Registration Statement hereunder with respect thereto) for so long as (a) a Registration Statement with respect to the sale of such Registrable Securities is declared effective by the Commission under the Securities Act and such Registrable Securities have been disposed of by the Holder in accordance with such effective Registration Statement, (b) such Registrable Securities have been previously sold in accordance with Rule 144, or (c) such securities become eligible for resale without volume or manner-of-sale restrictions and without current public information pursuant to Rule 144.</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5" w:name="page76"/>
    <w:bookmarkEnd w:id="7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“Registration Statement” means any registration statement required to be filed hereunder pursuant to Section 2(a) and any additional registration statements contemplated by Section 3(b), including (in each case) the Prospectus, amendments and supplements to any such registration statement or Prospectus, including pre- and post-effective amendments, all exhibits thereto, and all material incorporated by reference or deemed to be incorporated by reference in any such registration statement.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“Rule 144” means Rule 144 promulgated by the Commission pursuant to the Securities Act, as such Rule may be amended from time to time, or any similar rule or regulation hereafter adopted by the Commission having substantially the same effect as such Rule.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“Rule 415” means Rule 415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“Rule 424”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“SEC Guidance” means (i) any publicly-available written or oral guidance (including CDI 612.09), comments, requirements or requests of the Commission staff and (ii) the Securities Act.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“Securities Act” means the Securities Act of 1933.</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“Selling Stockholder Questionnaire” shall have the meaning set forth in Section 3(a). “Shares” shall have the meaning ascribed to such term in the Purchase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“Trading Day” means a day on which the New York Stock Exchange is open for trading.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“Trading Market” means any of the following markets or exchanges on which the Common Stock is listed or quoted for trading on the date in question: the NYSE American, the Nasdaq Capital Market, the Nasdaq Global Market, the Nasdaq Global Select Market, the New York Stock Exchange or the OTC Markets (or any successors to any of the foregoing).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“Transaction Documents” means this Agreement, the Purchase Agreement, all schedules and exhibits thereto and hereto, and any other documents or agreements executed in connection with the transactions contemplated hereunder.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“Transfer Agent” means Equiniti Trust Company, LLC, and any successor transfer agent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“Warrant Shares” shall have the meaning ascribed to such term in the Purchase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6" w:name="page77"/>
    <w:bookmarkEnd w:id="76"/>
    <w:p>
      <w:pPr>
        <w:ind w:left="184" w:hanging="184"/>
        <w:spacing w:after="0"/>
        <w:tabs>
          <w:tab w:leader="none" w:pos="18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Resale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648"/>
        <w:spacing w:after="0" w:line="252" w:lineRule="auto"/>
        <w:rPr>
          <w:sz w:val="20"/>
          <w:szCs w:val="20"/>
          <w:color w:val="auto"/>
        </w:rPr>
      </w:pPr>
      <w:r>
        <w:rPr>
          <w:rFonts w:ascii="Times New Roman" w:cs="Times New Roman" w:eastAsia="Times New Roman" w:hAnsi="Times New Roman"/>
          <w:sz w:val="18"/>
          <w:szCs w:val="18"/>
          <w:color w:val="auto"/>
        </w:rPr>
        <w:t xml:space="preserve">On or prior to each Filing Date, the Company shall prepare and file with the Commission a Registration Statement covering the resale of all of the Registrable Securities that are not then registered on an effective Registration Statement for an offering to be made on a continuous basis pursuant to Rule 415. Each Registration Statement filed hereunder shall be on Form S-1 (or Form S-3 if eligible) and shall contain a description of the Holders’ planned distribution (unless otherwise directed by at least an 85% majority in interest of the Holders) substantially in the form of “Plan of Distribution”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The Company shall respond to any comments from the staff of the Commission within seven days of the receipt of such comments. In the event the amount of Registrable Securities which may be included in the Registration Statement is limited due to SEC Guidance (provided that, the Company shall use diligent efforts to advocate with the Commission for the registration of all of the Registrable Securities in accordance with the SEC Guidance, including without limitation, the CDI 612.09) the Company shall use its reasonable best efforts to register such maximum portion of the Registrable Securities as permitted by SEC Guidance. Subject to the terms of this Agreement, the Company shall use its reasonable best efforts to cause a Registration Statement to be declared effective under the Securities Act prior to the applicable Effectiveness Date, and shall use its reasonable best efforts to keep such Registration Statement continuously effective under the Securities Act until all Registrable Securities covered by such Registration Statement have been sold, or may be sold pursuant to Rule 144 without the volume or other limitations of such rule, or not required to be registered in reliance upon the exemption in Section 4(a)(1) or 4(a)</w:t>
      </w:r>
    </w:p>
    <w:p>
      <w:pPr>
        <w:spacing w:after="0" w:line="1" w:lineRule="exact"/>
        <w:rPr>
          <w:sz w:val="20"/>
          <w:szCs w:val="20"/>
          <w:color w:val="auto"/>
        </w:rPr>
      </w:pPr>
    </w:p>
    <w:p>
      <w:pPr>
        <w:jc w:val="both"/>
        <w:ind w:left="4" w:hanging="4"/>
        <w:spacing w:after="0" w:line="251" w:lineRule="auto"/>
        <w:tabs>
          <w:tab w:leader="none" w:pos="28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Securities Act, in either case as determined by the counsel to the Company pursuant to a written opinion letter to such effect, addressed and acceptable to the Transfer Agent and the affected Holders (the “Effectiveness Period”); provided, however, that during any period of time that the Company’s financial statements contained in a prospectus do not meet the requirements of Securities Act Section 10(a)(3) and the remaining period until ten (10) days after the date its Form 10-K is required to be filed (excluding any extended period of time permitted by rule of the SEC) does not exceed thirty (30) days, the Company shall be excused from amending or supplementing its prospectus for the remaining period until the date its Form 10-K is required to be filed (including any extended period of time permitted by rule of the SEC). The Company shall telephonically request effectiveness of a Registration Statement as of 5:00 p.m. New York City time on a Trading Day. The Company shall promptly notify the Holders via facsimile or by e-mail of the effectiveness of a Registration Statement on the same Trading Day that the Company telephonically confirms effectiveness with the Commission, which shall be the date requested for effectiveness of such Registration Statement. The Company shall file a final Prospectus with the Commission as required by Rule 424. Notwithstanding any other provision of this Agreement, if any SEC Guidance sets forth a limitation on the number of Registrable Securities permitted to be registered on a particular Registration Statement (and notwithstanding that the Company used diligent efforts to advocate with the Commission for the registration of all or a greater portion of Registrable Securities), unless otherwise directed in writing by a Holder as to its Registrable Securities, the number of Registrable Securities to be registered on such Registration Statement will be reduced as follows: (1) first, the Company shall reduce or eliminate any securities to be included other than Registrable Securities; and (2) second, the Company shall reduce Registrable Securities on a pro rata basis based on the total number of unregistered Registrable Securities purchased by the Purchasers pursuant to the Purchase Agreement. In the event of a cutback hereunder, the Company shall give the Holder at least five Trading Days prior written notice along with the calculations as to such Holder’s allotment.</w:t>
      </w:r>
    </w:p>
    <w:p>
      <w:pPr>
        <w:spacing w:after="0" w:line="189" w:lineRule="exact"/>
        <w:rPr>
          <w:rFonts w:ascii="Times New Roman" w:cs="Times New Roman" w:eastAsia="Times New Roman" w:hAnsi="Times New Roman"/>
          <w:sz w:val="18"/>
          <w:szCs w:val="18"/>
          <w:color w:val="auto"/>
        </w:rPr>
      </w:pPr>
    </w:p>
    <w:p>
      <w:pPr>
        <w:jc w:val="both"/>
        <w:ind w:left="4" w:firstLine="644"/>
        <w:spacing w:after="0" w:line="251" w:lineRule="auto"/>
        <w:tabs>
          <w:tab w:leader="none" w:pos="919"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Registration Statement registering for resale all of the Registrable Securities (i) is not declared effective by the Commission by the Effectiveness Date of the Initial Registration Statement or any other Registration Statement (</w:t>
      </w:r>
      <w:r>
        <w:rPr>
          <w:rFonts w:ascii="Times New Roman" w:cs="Times New Roman" w:eastAsia="Times New Roman" w:hAnsi="Times New Roman"/>
          <w:sz w:val="18"/>
          <w:szCs w:val="18"/>
          <w:u w:val="single" w:color="auto"/>
          <w:color w:val="auto"/>
        </w:rPr>
        <w:t>unless</w:t>
      </w:r>
      <w:r>
        <w:rPr>
          <w:rFonts w:ascii="Times New Roman" w:cs="Times New Roman" w:eastAsia="Times New Roman" w:hAnsi="Times New Roman"/>
          <w:sz w:val="18"/>
          <w:szCs w:val="18"/>
          <w:color w:val="auto"/>
        </w:rPr>
        <w:t xml:space="preserve"> the sole reason for such non-registration of all or any portion of the Registrable Securities is solely as a result of SEC Guidance under Rule 415 or similar rule and CDI 612.09 which limits the number of Registrable Securities which may be included in a registration statement with respect to the Holders), or (ii) after the effective date of a Registration Statement, such Registration Statement ceases for any reason to remain continuously effective as to all Registrable Securities included in such Registration Statement, or the Holders are otherwise not permitted to utilize the Prospectus therein to resell such Registrable Securities, for more than fifteen (15) calendar days during any 12-month period (any such failure or breach being referred to as an “Event”, and the date on which such Event occurs, being referred to as “Event Date”), then, in addition to any other rights the Holders may have hereunder or under applicable law, on each such Event Date and on each monthly anniversary of each such Event Date (if the applicable Event shall not have been cured by such date) until the applicable Event is cured, the Company shall pay to each Holder an amount in cash, as partial liquidated damages and not as a penalty, equal to 1.15% of the aggregate purchase price paid by such Holder pursuant to the Purchase Agreement for the Securities then held by such Holder, during which such Event continues uncured; provided, however, that in no event shall the aggregate amount of partial liquidated damages payable to any Holder pursuant to this Section 2(b) exceed fifteen percent (15%) of the aggregate purchase price paid by such Holder pursuant to the Purchase Agreement. If the Company fails to pay any partial liquidated damages pursuant to this Section in full within seven days after the date payable, the Company will pay interest thereon at a rate of 15% per annum (or such lesser maximum amount that is permitted to be paid by applicable law) to the Purchaser, accruing daily from the date such partial liquidated damages are due until such amounts, plus all such interest thereon, are paid in full. The partial liquidated damages pursuant to the terms hereof shall apply on a daily pro rata basis for any portion of a month prior to the cure of an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the foregoing liquidated damages shall not accrue or be otherwise charged during any period in which the Investor is eligible to sell the Shares on any given day under Rule 144 without the volume or other limitations of such rule, or in reliance upon the exemption in Section 4(a)(1) under the Securities Act, or after such Investor has publicly sold its Registrable Securities. Provided, further, notwithstanding anything to the contrary herein, with respect to any individual Holder, liquidated damages shall not accrue or be payable to such Holder with respect to any Event under clause (i) above solely during the period in which, and solely to the extent that, such Event results directly and solely from such Holder’s failure to deliver information specifically required of such Holder under Item 507 of Regulation S-K within five (5) Business Days after the Company’s written request to such Holder identifying with reasonable specificity the information required; liquidated damages shall resume accruing as to such Holder upon delivery of the requested information, and the foregoing shall in no event affect the accrual or payment of liquidated damages with respect to any other Holder.</w:t>
      </w:r>
    </w:p>
    <w:p>
      <w:pPr>
        <w:spacing w:after="0" w:line="204"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77" w:name="page78"/>
    <w:bookmarkEnd w:id="77"/>
    <w:p>
      <w:pPr>
        <w:ind w:left="184" w:hanging="184"/>
        <w:spacing w:after="0"/>
        <w:tabs>
          <w:tab w:leader="none" w:pos="18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In connection with the Company’s registration obligations hereunder, the Company shall:</w:t>
      </w:r>
    </w:p>
    <w:p>
      <w:pPr>
        <w:spacing w:after="0" w:line="225" w:lineRule="exact"/>
        <w:rPr>
          <w:sz w:val="20"/>
          <w:szCs w:val="20"/>
          <w:color w:val="auto"/>
        </w:rPr>
      </w:pPr>
    </w:p>
    <w:p>
      <w:pPr>
        <w:jc w:val="both"/>
        <w:ind w:left="4" w:firstLine="644"/>
        <w:spacing w:after="0" w:line="253" w:lineRule="auto"/>
        <w:tabs>
          <w:tab w:leader="none" w:pos="90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Not less than three Trading Days prior to the filing of each Registration Statement and not less than one Trading Day prior to the filing of any related Prospectus or any amendment or supplement thereto (including any document that would be incorporated or deemed to be incorporated therein by reference), furnish to the Holders copies of all such documents proposed to be filed, which documents (other than those incorporated or deemed to be incorporated by reference) will be subject to the review of the Holders or counsel for the Holders, and (ii) cause its officers and directors, counsel and independent registered public accountants to respond to such inquiries as shall be necessary to conduct a reasonable investigation within the meaning of the Securities Act. The Company shall not file a Registration Statement or any such Prospectus or any amendments or supplements thereto to which the Holders of a majority of the Registrable Securities shall reasonably object in good faith with respect to disclosures relating to such Holders or the Plan of Distribution, provided that, the Company is notified of such objection in writing no later than two Trading Days after the Holders have been so furnished copies of a Registration Statement or two Trading Days after the Holders have been so furnished copies of any related Prospectus or amendments or supplements thereto. Each Holder agrees to furnish to the Company a completed questionnaire in the form attached to this Agreement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(a “Selling Stockholder Questionnaire”) on a date that is not less than two Trading Days prior to the Filing Date or by the end of the fourth Trading Day following the date on which such Holder receives draft materials in accordance with this Section.</w:t>
      </w:r>
    </w:p>
    <w:p>
      <w:pPr>
        <w:spacing w:after="0" w:line="187" w:lineRule="exact"/>
        <w:rPr>
          <w:rFonts w:ascii="Times New Roman" w:cs="Times New Roman" w:eastAsia="Times New Roman" w:hAnsi="Times New Roman"/>
          <w:sz w:val="18"/>
          <w:szCs w:val="18"/>
          <w:color w:val="auto"/>
        </w:rPr>
      </w:pPr>
    </w:p>
    <w:p>
      <w:pPr>
        <w:ind w:left="904" w:hanging="256"/>
        <w:spacing w:after="0"/>
        <w:tabs>
          <w:tab w:leader="none" w:pos="90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w:t>
      </w:r>
    </w:p>
    <w:p>
      <w:pPr>
        <w:spacing w:after="0" w:line="225" w:lineRule="exact"/>
        <w:rPr>
          <w:rFonts w:ascii="Times New Roman" w:cs="Times New Roman" w:eastAsia="Times New Roman" w:hAnsi="Times New Roman"/>
          <w:sz w:val="18"/>
          <w:szCs w:val="18"/>
          <w:color w:val="auto"/>
        </w:rPr>
      </w:pPr>
    </w:p>
    <w:p>
      <w:pPr>
        <w:jc w:val="both"/>
        <w:ind w:left="4" w:firstLine="968"/>
        <w:spacing w:after="0" w:line="261" w:lineRule="auto"/>
        <w:tabs>
          <w:tab w:leader="none" w:pos="1206"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with the Commission such amendments, including post-effective amendments, to a Registration Statement and the Prospectus used in connection therewith as may be necessary to keep a Registration Statement continuously effective as to the applicable Registrable Securities for the Effectiveness Period and prepare and file with the Commission such additional Registration Statements in order to register for resale under the Securities Act all of the Registrable Securities,</w:t>
      </w:r>
    </w:p>
    <w:p>
      <w:pPr>
        <w:spacing w:after="0" w:line="179" w:lineRule="exact"/>
        <w:rPr>
          <w:rFonts w:ascii="Times New Roman" w:cs="Times New Roman" w:eastAsia="Times New Roman" w:hAnsi="Times New Roman"/>
          <w:sz w:val="18"/>
          <w:szCs w:val="18"/>
          <w:color w:val="auto"/>
        </w:rPr>
      </w:pPr>
    </w:p>
    <w:p>
      <w:pPr>
        <w:ind w:left="4" w:firstLine="968"/>
        <w:spacing w:after="0" w:line="282" w:lineRule="auto"/>
        <w:tabs>
          <w:tab w:leader="none" w:pos="1246"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related Prospectus to be amended or supplemented by any required Prospectus supplement (subject to the terms of this Agreement), and, as so supplemented or amended, to be filed pursuant to Rule 424,</w:t>
      </w:r>
    </w:p>
    <w:p>
      <w:pPr>
        <w:spacing w:after="0" w:line="161" w:lineRule="exact"/>
        <w:rPr>
          <w:rFonts w:ascii="Times New Roman" w:cs="Times New Roman" w:eastAsia="Times New Roman" w:hAnsi="Times New Roman"/>
          <w:sz w:val="18"/>
          <w:szCs w:val="18"/>
          <w:color w:val="auto"/>
        </w:rPr>
      </w:pPr>
    </w:p>
    <w:p>
      <w:pPr>
        <w:jc w:val="both"/>
        <w:ind w:left="4" w:firstLine="968"/>
        <w:spacing w:after="0" w:line="258" w:lineRule="auto"/>
        <w:tabs>
          <w:tab w:leader="none" w:pos="1326"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reasonable best efforts to respond to any comments received from the Commission with respect to a Registration Statement or any amendment thereto within seven days of the receipt of such comments, and provide as promptly as reasonably possible to the Holders true and complete copies of all correspondence from and to the Commission relating to a Registration Statement (provided that, the Company may excise any information contained therein which would constitute material non-public information as to any Holder which has not executed a confidentiality agreement with the Company), and</w:t>
      </w:r>
    </w:p>
    <w:p>
      <w:pPr>
        <w:spacing w:after="0" w:line="183" w:lineRule="exact"/>
        <w:rPr>
          <w:rFonts w:ascii="Times New Roman" w:cs="Times New Roman" w:eastAsia="Times New Roman" w:hAnsi="Times New Roman"/>
          <w:sz w:val="18"/>
          <w:szCs w:val="18"/>
          <w:color w:val="auto"/>
        </w:rPr>
      </w:pPr>
    </w:p>
    <w:p>
      <w:pPr>
        <w:jc w:val="both"/>
        <w:ind w:left="4" w:firstLine="968"/>
        <w:spacing w:after="0" w:line="261" w:lineRule="auto"/>
        <w:tabs>
          <w:tab w:leader="none" w:pos="1316"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provisions of the Securities Act and the Exchange Act with respect to the disposition of all Registrable Securities covered by a Registration Statement during the applicable period in accordance (subject to the terms of this Agreement) with the intended methods of disposition by the Holders thereof set forth in such Registration Statement as so amended or in such Prospectus as so supplemented.</w:t>
      </w:r>
    </w:p>
    <w:p>
      <w:pPr>
        <w:spacing w:after="0" w:line="180"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78" w:name="page79"/>
    <w:bookmarkEnd w:id="78"/>
    <w:p>
      <w:pPr>
        <w:jc w:val="both"/>
        <w:ind w:left="-460" w:firstLine="644"/>
        <w:spacing w:after="0" w:line="251" w:lineRule="auto"/>
        <w:tabs>
          <w:tab w:leader="none" w:pos="44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notify the Holders of Registrable Securities to be sold (which notice shall, pursuant to clauses (iii) through (vi) hereof, be accompanied by an instruction to suspend the use of the Prospectus until the requisite changes have been made) as promptly as reasonably possible (and, in the case of (i)(A) below, not less than one Trading Day prior to such filing) and (if requested by any such Person) confirm such notice in writing no later than one Trading Day following the day (i)(A) when a Prospectus or any Prospectus supplement or post-effective amendment to a Registration Statement is proposed to be filed, (B) when the Commission notifies the Company whether there will be a “review” of such Registration Statement and whenever the Commission comments in writing on such Registration Statement, and (C) with respect to a Registration Statement or any post-effective amendment, when the same has become effective, (ii) of any request by the Commission or any other federal or state governmental authority for amendments or supplements to a Registration Statement or Prospectus or for additional information, (iii) of the issuance by the Commission or any other federal or state governmental authority of any stop order suspending the effectiveness of a Registration Statement covering any or all of the Registrable Securities or the initiation of any Proceedings for that purpose; (iv) of the receipt by the Company of any notification with respect to the suspension of the qualification or exemption from qualification of any of the Registrable Securities for sale in any jurisdiction, or the initiation or threatening of any Proceeding for such purpose, (v) of the occurrence of any event or passage of time that makes the financial statements included in a Registration Statement ineligible for inclusion therein or any statement made in a Registration Statement or Prospectus or any document incorporated or deemed to be incorporated therein by reference untrue in any material respect or that requires any revisions to a Registration Statement, Prospectus or other documents so that, in the case of a Registration Statement or the Prospectus, as the case may be, it will not contain any untrue statement of a material fact or omit to state any material fact required to be stated therein or necessary to make the statements therein, in light of the circumstances under which they were made, not misleading and (vi) of the occurrence or existence of any pending corporate development with respect to the Company that the Company believes may be material and that, in the determination of the Company, makes it not in the best interest of the Company to allow continued availability of a Registration Statement or Prospectus, provided that, any and all of such information shall remain confidential to each Holder until such information otherwise becomes public, unless disclosure by a Holder is required by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notwithstanding each Holder’s acknowledgement to keep such information confidential, each such Holder makes no acknowledgement that any such information is material, non-public information.</w:t>
      </w:r>
    </w:p>
    <w:p>
      <w:pPr>
        <w:spacing w:after="0" w:line="205"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6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best efforts to avoid the issuance of, or, if issued, obtain the withdrawal of (i) any order stopping or suspending the effectiveness of a Registration Statement, or (ii) any suspension of the qualification (or exemption from qualification) of any of the Registrable Securities for sale in any jurisdiction, at the earliest practicable moment.</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31"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furnish to each Holder, without charge, at least one conformed copy of each such Registration Statement and each amendment thereto, including financial statements and schedules, all documents incorporated or deemed to be incorporated therein by reference to the extent requested by such Person, and all exhibits to the extent requested by such Person (including those previously furnished or incorporated by reference) promptly after the filing of such documents with the Commission; provided, that any such item which is available on the EDGAR system need not be furnished in physical form, and such number of copies of the current Prospectus as each Holder may reasonably request.</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5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Agreement, the Company hereby consents to the use of such Prospectus and each amendment or supplement thereto by each of the selling Holders in connection with the offering and sale of the Registrable Securities covered by such Prospectus and any amendment or supplement thereto, except after the giving of any notice pursuant to Section 3(c).</w:t>
      </w:r>
    </w:p>
    <w:p>
      <w:pPr>
        <w:spacing w:after="0" w:line="175"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61"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any resale of Registrable Securities by a Holder, the Company shall use its commercially reasonable efforts to register or qualify or cooperate with the selling Holders in connection with the registration or qualification (or exemption from the Registration or qualification) of such Registrable Securities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provided,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w:t>
      </w:r>
    </w:p>
    <w:p>
      <w:pPr>
        <w:spacing w:after="0" w:line="19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79" w:name="page80"/>
    <w:bookmarkEnd w:id="79"/>
    <w:p>
      <w:pPr>
        <w:jc w:val="both"/>
        <w:ind w:left="4" w:firstLine="644"/>
        <w:spacing w:after="0" w:line="261" w:lineRule="auto"/>
        <w:tabs>
          <w:tab w:leader="none" w:pos="907"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a Holder, the Company shall cooperate with such Holders to facilitate the timely preparation and delivery of certificates representing Registrable Securities to be delivered to a transferee pursuant to a Registration Statement, which certificates shall be free, to the extent permitted by the Purchase Agreement, of all restrictive legends, and to enable such Registrable Securities to be in such denominations and registered in such names as any such Holder may request.</w:t>
      </w:r>
    </w:p>
    <w:p>
      <w:pPr>
        <w:spacing w:after="0" w:line="179"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888"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notifies the Holders in accordance with clauses (iii) through (vi) of Section 3(c) above to suspend the use of any Prospectus until the requisite changes to such Prospectus have been made, then the Holders shall suspend use of such Prospectus. The Company will use its reasonable best efforts to ensure that the use of the Prospectus may be resumed as promptly as is practicable.</w:t>
      </w:r>
    </w:p>
    <w:p>
      <w:pPr>
        <w:spacing w:after="0" w:line="175" w:lineRule="exact"/>
        <w:rPr>
          <w:rFonts w:ascii="Times New Roman" w:cs="Times New Roman" w:eastAsia="Times New Roman" w:hAnsi="Times New Roman"/>
          <w:sz w:val="18"/>
          <w:szCs w:val="18"/>
          <w:color w:val="auto"/>
        </w:rPr>
      </w:pPr>
    </w:p>
    <w:p>
      <w:pPr>
        <w:ind w:left="904" w:hanging="256"/>
        <w:spacing w:after="0"/>
        <w:tabs>
          <w:tab w:leader="none" w:pos="90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comply with all applicable rules and regulations of the Commission.</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866"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require each selling Holder to furnish to the Company a certified statement as to the number of shares of Common Stock beneficially owned by such Holder and, if required by the Commission, the natural persons thereof that have voting and dispositive control over the shares. The Company shall not be liable for any damages during any periods that the Company is unable to meet its obligations hereunder with respect to the registration of the Registrable Securities solely because any Holder fails to furnish such information within three Trading Days of the Company’s request and any liquidated damages that are accruing at such time as to such Holder only shall be tolled and any Event that may otherwise occur solely because of such delay shall be suspended as to such Holder only, until such information is delivered to the Company.</w:t>
      </w:r>
    </w:p>
    <w:p>
      <w:pPr>
        <w:spacing w:after="0" w:line="187" w:lineRule="exact"/>
        <w:rPr>
          <w:rFonts w:ascii="Times New Roman" w:cs="Times New Roman" w:eastAsia="Times New Roman" w:hAnsi="Times New Roman"/>
          <w:sz w:val="18"/>
          <w:szCs w:val="18"/>
          <w:color w:val="auto"/>
        </w:rPr>
      </w:pPr>
    </w:p>
    <w:p>
      <w:pPr>
        <w:jc w:val="both"/>
        <w:ind w:left="4" w:hanging="4"/>
        <w:spacing w:after="0" w:line="252" w:lineRule="auto"/>
        <w:tabs>
          <w:tab w:leader="none" w:pos="18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All fees and expenses incident to the performance of or compliance with this Agreement by the Company shall be borne by the Company whether or not any Registrable Securities are sold pursuant to a Registration Statement. The fees and expenses referred to in the foregoing sentence shall include, without limitation, (i) all registration and filing fees (including, without limitation, fees and expenses of the Company’s counsel, independent registered public accountants and transfer agent) (A) with respect to filings made with the Commission, (B) with respect to filings required to be made with any Trading Market on which the Common Stock is then listed for trading, (C) in compliance with applicable state securities or Blue Sky laws reasonably agreed to by the Company in writing (including, without limitation, fees and disbursements of counsel for the Company in connection with Blue Sky qualifications or exemptions of the Registrable Securities) and (D) (i) printing expenses (including, without limitation, expenses of printing certificates for Registrable Securities), and (ii) messenger, telephone and delivery expenses, (iii) fees and disbursements of counsel for the Company.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 the Registrable Securities on any Trading Market as required hereunder. In no event shall the Company be responsible for any broker-dealer or similar commissions of any Holder or, except to the extent provided for in the Transaction Documents, any legal fees or other costs of the Holders.</w:t>
      </w:r>
    </w:p>
    <w:p>
      <w:pPr>
        <w:spacing w:after="0" w:line="197"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80" w:name="page81"/>
    <w:bookmarkEnd w:id="80"/>
    <w:p>
      <w:pPr>
        <w:ind w:left="184" w:hanging="184"/>
        <w:spacing w:after="0"/>
        <w:tabs>
          <w:tab w:leader="none" w:pos="18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2" w:lineRule="auto"/>
        <w:tabs>
          <w:tab w:leader="none" w:pos="923"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Company</w:t>
      </w:r>
      <w:r>
        <w:rPr>
          <w:rFonts w:ascii="Times New Roman" w:cs="Times New Roman" w:eastAsia="Times New Roman" w:hAnsi="Times New Roman"/>
          <w:sz w:val="18"/>
          <w:szCs w:val="18"/>
          <w:color w:val="auto"/>
        </w:rPr>
        <w:t>. The Company shall, notwithstanding any termination of this Agreement, indemnify and hold harmless each Holder, the officers, directors, members, partners, agents and employees (and any other Persons with a functionally equivalent role of a Person holding such titles, notwithstanding a lack of such title or any other title) of each of them, each Person who controls any such Holder (within the meaning of Section 15 of the Securities Act or Section 20 of the Exchange Act) and the officers, directors, members, stockholders, partners, agents and employees (and any other Persons with a functionally equivalent role of a Person holding such titles, notwithstanding a lack of such title or any other title) of each such controlling Person, to the fullest extent permitted by applicable law, from and against any and all losses, claims, damages, liabilities, costs (including, without limitation, reasonable attorneys’ fees and costs of investigation and preparation) and expenses (collectively, “Losses”), as incurred, arising out of or relating to (1) any untrue or alleged untrue statement of a material fact contained in a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or (2) any violation or alleged violation by the Company of the Securities Act, the Exchange Act or any state securities law, or any rule or regulation thereunder, in connection with the performance of its obligations under this Agreement, except to the extent that (i) such untrue statements or omissions are based upon information regarding such Holder furnished in writing to the Company by such Holder expressly for use therein, or to the extent that such information relates to such Holder or such Holder’s proposed method of distribution of Registrable Securities and was reviewed and expressly approved in writing by such Holder expressly for use in a Registration Statement, such Prospectus or in any amendment or supplement thereto (it being understood that the Holder has approved Annex A hereto for this purpose) or (ii) in the case of an occurrence of an event of the type specified in Section 3(c)(iii)-(vi), the use by such Holder of an outdated or defective Prospectus after the Company has notified such Holder in writing that the Prospectus is outdated or defective and prior to the receipt by such Holder of the Advice contemplated in Section 6(d). The Company shall notify the Holders promptly of the institution, threat or assertion of any Proceeding arising from or in connection with the transactions contemplated by this Agreement of which the Company is aware.</w:t>
      </w:r>
    </w:p>
    <w:p>
      <w:pPr>
        <w:spacing w:after="0" w:line="187" w:lineRule="exact"/>
        <w:rPr>
          <w:rFonts w:ascii="Times New Roman" w:cs="Times New Roman" w:eastAsia="Times New Roman" w:hAnsi="Times New Roman"/>
          <w:sz w:val="18"/>
          <w:szCs w:val="18"/>
          <w:color w:val="auto"/>
        </w:rPr>
      </w:pPr>
    </w:p>
    <w:p>
      <w:pPr>
        <w:jc w:val="both"/>
        <w:ind w:left="4" w:firstLine="644"/>
        <w:spacing w:after="0" w:line="254" w:lineRule="auto"/>
        <w:tabs>
          <w:tab w:leader="none" w:pos="907"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Holders</w:t>
      </w:r>
      <w:r>
        <w:rPr>
          <w:rFonts w:ascii="Times New Roman" w:cs="Times New Roman" w:eastAsia="Times New Roman" w:hAnsi="Times New Roman"/>
          <w:sz w:val="18"/>
          <w:szCs w:val="18"/>
          <w:color w:val="auto"/>
        </w:rPr>
        <w:t>. Each Holder shall, severally and not jointly, indemnify and hold harmless the Company, each director of the Company, each officer of the Company who shall sign such Registration Statement, each underwriter, broker or other Person acting on behalf of the holders of Registrable Securities and each Person who controls any of the foregoing Persons within the meaning of Section 15 of the Securities Act or Section 20 of the Exchange Act, to the fullest extent permitted by applicable law, from and against all Losses, as incurred, to the extent arising out of or based solely upon: (x) such Holder’s failure to comply with the prospectus delivery requirements of the Securities Act or</w:t>
      </w:r>
    </w:p>
    <w:p>
      <w:pPr>
        <w:spacing w:after="0" w:line="3" w:lineRule="exact"/>
        <w:rPr>
          <w:rFonts w:ascii="Times New Roman" w:cs="Times New Roman" w:eastAsia="Times New Roman" w:hAnsi="Times New Roman"/>
          <w:sz w:val="18"/>
          <w:szCs w:val="18"/>
          <w:color w:val="auto"/>
        </w:rPr>
      </w:pPr>
    </w:p>
    <w:p>
      <w:pPr>
        <w:jc w:val="both"/>
        <w:ind w:left="4"/>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any untrue or alleged untrue statement of a material fact contained in any Registration Statement, any Prospectus, or in any amendment or supplement thereto or in any preliminary prospectus, or arising out of or relating to any omission or alleged omission of a material fact required to be stated therein or necessary to make the statements therein not misleading (i) to the extent, but only to the extent, that such untrue statement or omission is contained in any information so furnished in writing by such Holder to the Company specifically for inclusion in such Registration Statement or such Prospectus or (ii) to the extent that such information relates to such Holder’s proposed method of distribution of Registrable Securities and was reviewed and expressly approved in writing by such Holder expressly for use in a Registration Statement (it being understood that the Holder has approved Annex A hereto for this purpose), such Prospectus or in any amendment or supplement thereto or (ii) in the case of an occurrence of an event of the type specified in Section 3(c)(iii)-(vi), the use by such Holder of an outdated or defective Prospectus after the Company has notified such Holder in writing that the Prospectus is outdated or defective and prior to the receipt by such Holder of the Advice contemplated in Section 6(d). In no event shall the liability of any selling Holder hereunder be greater in amount than the dollar amount of the net proceeds (after underwriting fees, commissions, or discounts) actually received by such Holder upon the sale of the Registrable Securities giving rise to such indemnification obligation.</w:t>
      </w:r>
    </w:p>
    <w:p>
      <w:pPr>
        <w:spacing w:after="0" w:line="192" w:lineRule="exact"/>
        <w:rPr>
          <w:rFonts w:ascii="Times New Roman" w:cs="Times New Roman" w:eastAsia="Times New Roman" w:hAnsi="Times New Roman"/>
          <w:sz w:val="18"/>
          <w:szCs w:val="18"/>
          <w:color w:val="auto"/>
        </w:rPr>
      </w:pPr>
    </w:p>
    <w:p>
      <w:pPr>
        <w:jc w:val="both"/>
        <w:ind w:left="4" w:firstLine="644"/>
        <w:spacing w:after="0" w:line="254" w:lineRule="auto"/>
        <w:tabs>
          <w:tab w:leader="none" w:pos="91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Conduct of Indemnification Proceedings</w:t>
      </w:r>
      <w:r>
        <w:rPr>
          <w:rFonts w:ascii="Times New Roman" w:cs="Times New Roman" w:eastAsia="Times New Roman" w:hAnsi="Times New Roman"/>
          <w:sz w:val="18"/>
          <w:szCs w:val="18"/>
          <w:color w:val="auto"/>
        </w:rPr>
        <w:t>. If any Proceeding shall be brought or asserted against any Person entitled to indemnity hereunder (an “Indemnified Party”), such Indemnified Party shall promptly notify the Person from whom indemnity is sought (the “Indemnifying Party”) in writing, and the Indemnifying Party shall have the right to assume the defense thereof, including the employment of one law firm reasonably satisfactory to the Indemnified Party and the payment of all fees and expenses incurred in connection with defense thereof except as otherwise provided in this Section 5(c);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materially prejudiced the Indemnifying Party.</w:t>
      </w:r>
    </w:p>
    <w:p>
      <w:pPr>
        <w:spacing w:after="0" w:line="192"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81" w:name="page82"/>
    <w:bookmarkEnd w:id="8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counsel to the Indemnified Party shall reasonably believe that a material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the reasonable fees and expenses of no more than one separate counsel shall be at the expense of the Indemnifying Party). The Indemnifying Party shall not be liable for any settlement of any such Proceeding effected without its written consent, which consent shall not be unreasonably withheld or delayed.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Subject to the terms of this Agreement, all reasonable fees and expenses of the Indemnified Party (including reasonable fees and expenses to the extent incurred in connection with investigating or preparing to defend such Proceeding in a manner not inconsistent with this Section) shall be paid to the Indemnified Party, as incurred, within 10 Trading Days of written notice thereof to the Indemnifying Party; provided, that, the Indemnified Party shall promptly reimburse the Indemnifying Party for that portion of such fees and expenses applicable to such actions for which such Indemnified Party is judicially determined not to be entitled to indemnification hereunder.</w:t>
      </w:r>
    </w:p>
    <w:p>
      <w:pPr>
        <w:spacing w:after="0" w:line="183" w:lineRule="exact"/>
        <w:rPr>
          <w:sz w:val="20"/>
          <w:szCs w:val="20"/>
          <w:color w:val="auto"/>
        </w:rPr>
      </w:pPr>
    </w:p>
    <w:p>
      <w:pPr>
        <w:jc w:val="both"/>
        <w:ind w:left="660" w:firstLine="644"/>
        <w:spacing w:after="0" w:line="253" w:lineRule="auto"/>
        <w:tabs>
          <w:tab w:leader="none" w:pos="159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If the indemnification under Section 5(a) or 5(b) is unavailable to an Indemnified Party or insufficient to hold an Indemnified Party harmless for any Losses, then each Indemnifying Party shall contribute to the amount paid or payable by such Indemnified Party,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this Agreement, any reasonable attorneys’ or other fees or expenses incurred by such party in connection with any Proceeding to the extent such party would have been indemnified for such fees or expenses if the indemnification provided for in this Section was available to such party in accordance with its terms.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parties hereto agree that it would not be just and equitable if contribution pursuant to this Section 5(d) were determined by pro rata allocation or by any other method of allocation that does not take into account the equitable considerations referred to in the immediately preceding paragraph. Notwithstanding the provisions of this Section 5(d), no Holder shall be required to contribute, in the aggregate, any amount in excess of the amount by which the net proceeds actually received by such Holder from the sale of the Registrable Securities subject to the Proceeding exceeds the amount of any damages that such Holder has otherwise been required to pay by reason of such untrue or alleged untrue statement or omission or alleged omission.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indemnity and contribution agreements contained in this Section are in addition to any liability that the Indemnifying Parties may have to the Indemnified Parties.</w:t>
      </w:r>
    </w:p>
    <w:p>
      <w:pPr>
        <w:spacing w:after="0" w:line="162" w:lineRule="exact"/>
        <w:rPr>
          <w:sz w:val="20"/>
          <w:szCs w:val="20"/>
          <w:color w:val="auto"/>
        </w:rPr>
      </w:pPr>
    </w:p>
    <w:p>
      <w:pPr>
        <w:ind w:left="840" w:hanging="184"/>
        <w:spacing w:after="0"/>
        <w:tabs>
          <w:tab w:leader="none" w:pos="8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552"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the event of a breach by the Company or by a Holder of any of their respective obligations under this Agreement, each Holder or the Company, as the case may be, in addition to being entitled to exercise all rights granted by law and under this Agreement, including recovery of damages, shall be entitled to specific performance of its rights under this Agreement. The Company and each Holder agree that 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2" w:name="page83"/>
    <w:bookmarkEnd w:id="82"/>
    <w:p>
      <w:pPr>
        <w:jc w:val="both"/>
        <w:ind w:left="-460" w:firstLine="644"/>
        <w:spacing w:after="0" w:line="252" w:lineRule="auto"/>
        <w:tabs>
          <w:tab w:leader="none" w:pos="44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Prohibition on Filing Other Registration Statements</w:t>
      </w:r>
      <w:r>
        <w:rPr>
          <w:rFonts w:ascii="Times New Roman" w:cs="Times New Roman" w:eastAsia="Times New Roman" w:hAnsi="Times New Roman"/>
          <w:sz w:val="18"/>
          <w:szCs w:val="18"/>
          <w:color w:val="auto"/>
        </w:rPr>
        <w:t>. Neither the Company nor any of its security holders (other than the Holders in such capacity pursuant hereto) may include securities of the Company in any Registration Statements other than the Registrable Securities and shares issued in connection with the Equity Investment (as defined in the Purchase Agreement). The Company shall not file any other resale registration statements until all Registrable Securities are registered pursuant to a Registration Statement that is declared effective by the Commission, provided that this Section 6(b) shall not prohibit the Company from filing amendments to registration statements filed prior to the date of this Agreement or a Form S-8 or Form S-4. If the staff of the Commission or applicable SEC Guidance prevents the inclusion of all of the Registrable Securities requested to be included in a Registration Statement due to limitations on the use of Rule 415 under the Securities Act or other applicable rules, then the Company shall include in such Registration Statement the maximum number of Registrable Securities that may be included without exceeding such limitations. The securities to be included in such Registration Statement shall be allocated as follows: (i) First, the Company shall include all securities that are not Registrable Securities but have been previously registered on an effective registration statement of the Company as of the date of this Agreement and for which the Company is contractually obligated to include; (ii) Second, the Company shall include Registrable Securities on a pro rata basis among the Holders based on the aggregate principal amount or Stated Value of the securities purchased by each Holder under the Purchase Agreement, relative to the total aggregate principal amount or Stated Value of all securities purchased by all Holders under the Purchase Agreement; (iii) Third, any securities requested to be included by other security holders with registration rights shall be included only after the full inclusion of all Registrable Securities. In the event the Commission or SEC Guidance subsequently allows the inclusion of additional Registrable Securities, the Company shall promptly amend the Registration Statement or file a new Registration Statement to include such additional Registrable Securities that were previously cut back, on a pro rata basis as set forth above.</w:t>
      </w:r>
    </w:p>
    <w:p>
      <w:pPr>
        <w:spacing w:after="0" w:line="193" w:lineRule="exact"/>
        <w:rPr>
          <w:rFonts w:ascii="Times New Roman" w:cs="Times New Roman" w:eastAsia="Times New Roman" w:hAnsi="Times New Roman"/>
          <w:sz w:val="18"/>
          <w:szCs w:val="18"/>
          <w:color w:val="auto"/>
        </w:rPr>
      </w:pPr>
    </w:p>
    <w:p>
      <w:pPr>
        <w:ind w:left="-460" w:firstLine="644"/>
        <w:spacing w:after="0" w:line="282" w:lineRule="auto"/>
        <w:tabs>
          <w:tab w:leader="none" w:pos="43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Each Holder covenants and agrees that it will comply with the prospectus delivery requirements of the Securities Act as applicable to it in connection with sales of Registrable Securities pursuant to a Registration Statement.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5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Discontinued Disposition</w:t>
      </w:r>
      <w:r>
        <w:rPr>
          <w:rFonts w:ascii="Times New Roman" w:cs="Times New Roman" w:eastAsia="Times New Roman" w:hAnsi="Times New Roman"/>
          <w:sz w:val="18"/>
          <w:szCs w:val="18"/>
          <w:color w:val="auto"/>
        </w:rPr>
        <w:t>. By its acquisition of Registrable Securities, each Holder agrees that, upon receipt of a notice from the Company of the occurrence of any event of the kind described in Section 3(c)(iii) through (vi), such Holder will immediately discontinue disposition of such Registrable Securities under a Registration Statement until it is advised in writing (the “Advice”) by the Company that the use of the applicable Prospectus (as it may have been supplemented or amended) may be resumed. The Company will use its best efforts to ensure that the use of the Prospectus may be resumed as promptly as is practicable.</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59"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The provisions of this Agreement, including the provisions of this sentence, may not be amended, modified or supplemented, and waivers or consents to departures from the provisions hereof may not be given, unless the same shall be in writing and signed by the Company and the Holders of more than 50% of the Registrable Securities. If a Registration Statement does not register all of the Registrable Securities pursuant to a waiver or amendment done in compliance with the previous sentence, then the number of Registrable Securities to be registered for each Holder shall be reduced pro rata among all Holders and each Holder shall have the right to designate which of its Registrable Securities shall be omitted from such Registration Statement. Notwithstanding the foregoing, a waiver or consent to depart from the provisions hereof with respect to a matter that relates exclusively to the rights of a Holder or some Holders and that does not directly or indirectly affect the rights of other Holders may be given by such Holder or Holders of all of the Registrable Securities to which such waiver or consent relates; provided, however, that the provisions of this sentence may not be amended, modified, or supplemented except in accordance with the provisions of the first sentence of this Section 6(e).</w:t>
      </w:r>
    </w:p>
    <w:p>
      <w:pPr>
        <w:spacing w:after="0" w:line="194" w:lineRule="exact"/>
        <w:rPr>
          <w:rFonts w:ascii="Times New Roman" w:cs="Times New Roman" w:eastAsia="Times New Roman" w:hAnsi="Times New Roman"/>
          <w:sz w:val="18"/>
          <w:szCs w:val="18"/>
          <w:color w:val="auto"/>
        </w:rPr>
      </w:pPr>
    </w:p>
    <w:p>
      <w:pPr>
        <w:ind w:left="-460" w:firstLine="644"/>
        <w:spacing w:after="0" w:line="282" w:lineRule="auto"/>
        <w:tabs>
          <w:tab w:leader="none" w:pos="41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delivered as set forth in the Purchase Agreement.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5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inure to the benefit of and be binding upon the successors and permitted assigns of each of the parties and shall inure to the benefit of each Holder. The Company may not assign (except by merger) its rights or obligations hereunder without the prior written consent of all of the Holders of the then outstanding Registrable Securities. Each Holder may assign their respective rights hereunder in the manner and to the Persons as permitted under the Purchase Agreement.</w:t>
      </w:r>
    </w:p>
    <w:p>
      <w:pPr>
        <w:spacing w:after="0" w:line="18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83" w:name="page84"/>
    <w:bookmarkEnd w:id="83"/>
    <w:p>
      <w:pPr>
        <w:jc w:val="both"/>
        <w:ind w:firstLine="644"/>
        <w:spacing w:after="0" w:line="258" w:lineRule="auto"/>
        <w:tabs>
          <w:tab w:leader="none" w:pos="93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Inconsistent Agreements</w:t>
      </w:r>
      <w:r>
        <w:rPr>
          <w:rFonts w:ascii="Times New Roman" w:cs="Times New Roman" w:eastAsia="Times New Roman" w:hAnsi="Times New Roman"/>
          <w:sz w:val="18"/>
          <w:szCs w:val="18"/>
          <w:color w:val="auto"/>
        </w:rPr>
        <w:t>. Neither the Company nor any of its Subsidiaries has entered, as of the date hereof, nor shall the Company or any of its Subsidiaries, on or after the date of this Agreement, enter into any agreement with respect to its securities, that would have the effect of impairing the rights granted to the Holders in this Agreement or otherwise conflicts with the provisions hereof. Neither the Company nor any of its Subsidiaries has previously entered into any agreement granting any registration rights with respect to any of its securities to any Person that have not been satisfied in full.</w:t>
      </w:r>
    </w:p>
    <w:p>
      <w:pPr>
        <w:spacing w:after="0" w:line="183" w:lineRule="exact"/>
        <w:rPr>
          <w:rFonts w:ascii="Times New Roman" w:cs="Times New Roman" w:eastAsia="Times New Roman" w:hAnsi="Times New Roman"/>
          <w:sz w:val="18"/>
          <w:szCs w:val="18"/>
          <w:color w:val="auto"/>
        </w:rPr>
      </w:pPr>
    </w:p>
    <w:p>
      <w:pPr>
        <w:jc w:val="both"/>
        <w:ind w:firstLine="644"/>
        <w:spacing w:after="0" w:line="258" w:lineRule="auto"/>
        <w:tabs>
          <w:tab w:leader="none" w:pos="86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and Counterparts</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83" w:lineRule="exact"/>
        <w:rPr>
          <w:rFonts w:ascii="Times New Roman" w:cs="Times New Roman" w:eastAsia="Times New Roman" w:hAnsi="Times New Roman"/>
          <w:sz w:val="18"/>
          <w:szCs w:val="18"/>
          <w:color w:val="auto"/>
        </w:rPr>
      </w:pPr>
    </w:p>
    <w:p>
      <w:pPr>
        <w:ind w:firstLine="644"/>
        <w:spacing w:after="0" w:line="282" w:lineRule="auto"/>
        <w:tabs>
          <w:tab w:leader="none" w:pos="86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choice of law and venue, construction, validity, enforcement and interpretation of this Agreement shall be determined in accordance with the provisions of the Purchase Agreement.</w:t>
      </w:r>
    </w:p>
    <w:p>
      <w:pPr>
        <w:spacing w:after="0" w:line="161" w:lineRule="exact"/>
        <w:rPr>
          <w:rFonts w:ascii="Times New Roman" w:cs="Times New Roman" w:eastAsia="Times New Roman" w:hAnsi="Times New Roman"/>
          <w:sz w:val="18"/>
          <w:szCs w:val="18"/>
          <w:color w:val="auto"/>
        </w:rPr>
      </w:pPr>
    </w:p>
    <w:p>
      <w:pPr>
        <w:ind w:left="900" w:hanging="256"/>
        <w:spacing w:after="0"/>
        <w:tabs>
          <w:tab w:leader="none" w:pos="9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Cumulative Remedies</w:t>
      </w:r>
      <w:r>
        <w:rPr>
          <w:rFonts w:ascii="Times New Roman" w:cs="Times New Roman" w:eastAsia="Times New Roman" w:hAnsi="Times New Roman"/>
          <w:sz w:val="18"/>
          <w:szCs w:val="18"/>
          <w:color w:val="auto"/>
        </w:rPr>
        <w:t>. The remedies provided herein are cumulative and not exclusive of any other remedies provided by law.</w:t>
      </w:r>
    </w:p>
    <w:p>
      <w:pPr>
        <w:spacing w:after="0" w:line="225" w:lineRule="exact"/>
        <w:rPr>
          <w:rFonts w:ascii="Times New Roman" w:cs="Times New Roman" w:eastAsia="Times New Roman" w:hAnsi="Times New Roman"/>
          <w:sz w:val="18"/>
          <w:szCs w:val="18"/>
          <w:color w:val="auto"/>
        </w:rPr>
      </w:pPr>
    </w:p>
    <w:p>
      <w:pPr>
        <w:jc w:val="both"/>
        <w:ind w:firstLine="644"/>
        <w:spacing w:after="0" w:line="256" w:lineRule="auto"/>
        <w:tabs>
          <w:tab w:leader="none" w:pos="86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rFonts w:ascii="Times New Roman" w:cs="Times New Roman" w:eastAsia="Times New Roman" w:hAnsi="Times New Roman"/>
          <w:sz w:val="18"/>
          <w:szCs w:val="18"/>
          <w:color w:val="auto"/>
        </w:rPr>
      </w:pPr>
    </w:p>
    <w:p>
      <w:pPr>
        <w:ind w:right="20" w:firstLine="644"/>
        <w:spacing w:after="0" w:line="282" w:lineRule="auto"/>
        <w:tabs>
          <w:tab w:leader="none" w:pos="96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Agreement are for convenience only, do not constitute a part of the Agreement and shall not be deemed to limit or affect any of the provisions hereof.</w:t>
      </w:r>
    </w:p>
    <w:p>
      <w:pPr>
        <w:spacing w:after="0" w:line="161" w:lineRule="exact"/>
        <w:rPr>
          <w:rFonts w:ascii="Times New Roman" w:cs="Times New Roman" w:eastAsia="Times New Roman" w:hAnsi="Times New Roman"/>
          <w:sz w:val="18"/>
          <w:szCs w:val="18"/>
          <w:color w:val="auto"/>
        </w:rPr>
      </w:pPr>
    </w:p>
    <w:p>
      <w:pPr>
        <w:jc w:val="both"/>
        <w:ind w:firstLine="644"/>
        <w:spacing w:after="0" w:line="255" w:lineRule="auto"/>
        <w:tabs>
          <w:tab w:leader="none" w:pos="90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Nature of 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Obligations and Rights</w:t>
      </w:r>
      <w:r>
        <w:rPr>
          <w:rFonts w:ascii="Times New Roman" w:cs="Times New Roman" w:eastAsia="Times New Roman" w:hAnsi="Times New Roman"/>
          <w:sz w:val="18"/>
          <w:szCs w:val="18"/>
          <w:color w:val="auto"/>
        </w:rPr>
        <w:t>. The obligations of each Holder hereunder are several and not joint with the obligations of any other Holder hereunder, and no Holder shall be responsible in any way for the performance of the obligations of any other Holder hereunder. Nothing contained herein or in any other agreement or document delivered at any closing, and no action taken by any Holder pursuant hereto or thereto, shall be deemed to constitute the Holders as a partnership, an association, a joint venture or any other kind of entity, or create a presumption that the Holders are in any way acting in concert with respect to such obligations or the transactions contemplated by this Agreement. Each Holder shall be entitled to protect and enforce its rights, including without limitation the rights arising out of this Agreement, and it shall not be necessary for any other Holder to be joined as an additional party in any proceeding for such purpose.</w:t>
      </w:r>
    </w:p>
    <w:p>
      <w:pPr>
        <w:spacing w:after="0" w:line="187"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color w:val="auto"/>
        </w:rPr>
        <w:t>IN WITNESS WHEREOF, the parties have executed this Registration Rights Agreement as of the date first written above.</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HCW BIOLOGICS INC.</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Hing C. Wong, Ph.D.</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w:t>
      </w:r>
    </w:p>
    <w:p>
      <w:pPr>
        <w:spacing w:after="0" w:line="24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479"/>
          </w:cols>
          <w:pgMar w:left="980" w:top="661" w:right="1440"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u w:val="single" w:color="auto"/>
          <w:color w:val="auto"/>
        </w:rPr>
        <w:t>Annex 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Plan of Distribution</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Selling Stockholder (the “Selling Stockholders”) of the Common Stock and any of their pledgees, assignees and successors-in-interest may, from time to time, sell any or all of their shares of Common Stock on the Trading Market or any other stock exchange, market or trading facility on which the shares are traded or in private transactions. These sales may be at fixed or negotiated prices. A Selling Stockholder may use any one or more of the following methods when selling shares:</w:t>
      </w:r>
    </w:p>
    <w:p>
      <w:pPr>
        <w:spacing w:after="0" w:line="180" w:lineRule="exact"/>
        <w:rPr>
          <w:sz w:val="20"/>
          <w:szCs w:val="20"/>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effective date of the registration statement of which this prospectus is a part;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Stockholders to sell a specified number of such shares at a stipulated price per share;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Selling Stockholders may also sell shares under Rule 144 under the Securities Act of 1933, as amended (the “Securities Act”), if available, rather than under this prospectus.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Broker-dealers engaged by the Selling Stockholders may arrange for other brokers or dealers to participate in sales. Broker-dealers may receive commissions or discounts from the Selling Stockholders (or, if any broker-dealer acts as agent for the purchaser of shares, from the purchaser) in amounts to be negotiated, but, except as set forth in a supplement to this Prospectus, in the case of an agency transaction not in excess of a customary brokerage commission in compliance with FINRA Rule 2121 or NASD Rule 2440; and in the case of a principal transaction a markup or markdown in compliance with NASD IM-2440.</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sale of the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the Common Stock short and deliver these securities to close out their short positions, or loan or pledge the Common Stock to broker-dealers that in turn may sell these securities.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Selling Stockholders may also enter into option or other transactions with broker-dealers or other financial institutions or the creation of one or more derivative securities which require the delivery to such broker- dealer or other financial institution of shares offered by this prospectus, which shares such broker-dealer or other financial institution may resell pursuant to this prospectus (as supplemented or amended to reflect such transaction).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Selling Stockholders and any broker-dealers or agents that are involved in selling the shares may be deemed to be “underwriters” within the meaning of the Securities Act in connection with such sales. In such event, any commissions received by such broker-dealers or agents and any profit on the resale of the shares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Common Stock. In no event shall any broker-dealer receive fees, commissions and markups which, in the aggregate, would exceed eight percent.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is required to pay certain fees and expenses incurred by the Company incident to the registration of the shares. The Company has agreed to indemnify the Selling Stockholders against certain losses, claims, damages and liabilities, including liabilities under the Securities Act.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Because Selling Stockholders may be deemed to be “underwriters” within the meaning of the Securities Act, they will be subject to the prospectus delivery requirements of the Securities Act including Rule 172 thereunder. In addition, any securities covered by this prospectus which qualify for sale pursuant to Rule 144 under the Securities Act may be sold under Rule 144 rather than under this prospectus. There is no underwriter or coordinating broker acting in connection with the proposed sale of the resale shares by the Selling Stockholders.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shares will be sold only through registered or licensed brokers or dealers if required under applicable state securities laws. In addition, in certain states, the shares may not be sold unless they have been registered or qualified for sale in the applicable state or an exemption from the registration or qualification requirement is available and is complied with.</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shares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shares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 Notice and Questionnaire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undersigned beneficial owner of common stock, par value $0.0001 per share (including shares issuable upon exercise of Pre-Funded Warrants and Common Warrants) (the “Registrable Securities”) of HCW Biologics Inc., a Delaware corporation (the “Company”), understands that the Company has filed or intends to file with the U.S. Securities and Exchange Commission (the “Commission”) a registration statement (the “Registration Statement”) for the registration and resale under Rule 415 of the Securities Act of 1933 (the “Securities Act”), of the Registrable Securities, in accordance with the terms of the Registration Rights Agreement (the “Registration Rights Agreement”) to which this document is annexed. A copy of the Registration Rights Agreement is available from the Company upon request at the address set forth below. All capitalized terms not otherwise defined herein shall have the meanings ascribed thereto in the Registration Rights Agreement.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legal consequences arise from being named as a selling stockholder in the Registration Statement and the related prospectus. Accordingly, holders and beneficial owners of Registrable Securities are advised to consult their own securities law counsel regarding the consequences of being named or not being named as a selling stockholder in the Registration Statement and the related prospectus.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undersigned beneficial owner (the “Selling Stockholder”) of Registrable Securities hereby elects to include the Registrable Securities owned by it in the Registration Statement.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hereby provides the following information to the Company and represents and warrants that such information is accurate: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QUESTIONNAIRE</w:t>
      </w:r>
    </w:p>
    <w:p>
      <w:pPr>
        <w:spacing w:after="0" w:line="225" w:lineRule="exact"/>
        <w:rPr>
          <w:sz w:val="20"/>
          <w:szCs w:val="20"/>
          <w:color w:val="auto"/>
        </w:rPr>
      </w:pPr>
    </w:p>
    <w:p>
      <w:pPr>
        <w:ind w:left="180" w:hanging="172"/>
        <w:spacing w:after="0"/>
        <w:tabs>
          <w:tab w:leader="none" w:pos="18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w:t>
      </w:r>
    </w:p>
    <w:p>
      <w:pPr>
        <w:spacing w:after="0" w:line="229" w:lineRule="exact"/>
        <w:rPr>
          <w:rFonts w:ascii="Times New Roman" w:cs="Times New Roman" w:eastAsia="Times New Roman" w:hAnsi="Times New Roman"/>
          <w:sz w:val="18"/>
          <w:szCs w:val="18"/>
          <w:b w:val="1"/>
          <w:bCs w:val="1"/>
          <w:color w:val="auto"/>
        </w:rPr>
      </w:pPr>
    </w:p>
    <w:p>
      <w:pPr>
        <w:ind w:left="580" w:hanging="248"/>
        <w:spacing w:after="0"/>
        <w:tabs>
          <w:tab w:leader="none" w:pos="58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Selling Stockholder:</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Registered Holder (if not the same as (a) above) through which Registrable Securities are held:</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340" w:hanging="8"/>
        <w:spacing w:after="0" w:line="282" w:lineRule="auto"/>
        <w:tabs>
          <w:tab w:leader="none" w:pos="601"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Natural Control Person (which means a natural person who directly or indirectly alone or with others has power to vote or dispose of the securities covered by this Questionnaire):</w:t>
      </w:r>
    </w:p>
    <w:p>
      <w:pPr>
        <w:spacing w:after="0" w:line="387"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for Notices to Selling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-1239520</wp:posOffset>
            </wp:positionV>
            <wp:extent cx="687514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-819785</wp:posOffset>
            </wp:positionV>
            <wp:extent cx="687514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75145"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-262255</wp:posOffset>
            </wp:positionV>
            <wp:extent cx="687514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75145" cy="8890"/>
                    </a:xfrm>
                    <a:prstGeom prst="rect">
                      <a:avLst/>
                    </a:prstGeom>
                    <a:noFill/>
                  </pic:spPr>
                </pic:pic>
              </a:graphicData>
            </a:graphic>
          </wp:anchor>
        </w:drawing>
      </w:r>
    </w:p>
    <w:p>
      <w:pPr>
        <w:spacing w:after="0" w:line="2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Telephone: ________________________________</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Fax: ________________________________</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Contact Person: ________________________________</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7" w:name="page88"/>
    <w:bookmarkEnd w:id="87"/>
    <w:p>
      <w:pPr>
        <w:ind w:left="180" w:hanging="172"/>
        <w:spacing w:after="0"/>
        <w:tabs>
          <w:tab w:leader="none" w:pos="18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Broker-Dealer Status:</w:t>
      </w:r>
    </w:p>
    <w:p>
      <w:pPr>
        <w:spacing w:after="0" w:line="229" w:lineRule="exact"/>
        <w:rPr>
          <w:rFonts w:ascii="Times New Roman" w:cs="Times New Roman" w:eastAsia="Times New Roman" w:hAnsi="Times New Roman"/>
          <w:sz w:val="18"/>
          <w:szCs w:val="18"/>
          <w:b w:val="1"/>
          <w:bCs w:val="1"/>
          <w:color w:val="auto"/>
        </w:rPr>
      </w:pPr>
    </w:p>
    <w:p>
      <w:pPr>
        <w:ind w:left="560" w:hanging="228"/>
        <w:spacing w:after="0"/>
        <w:tabs>
          <w:tab w:leader="none" w:pos="5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you a broker-dealer?</w:t>
      </w:r>
    </w:p>
    <w:p>
      <w:pPr>
        <w:spacing w:after="0" w:line="184" w:lineRule="exact"/>
        <w:rPr>
          <w:sz w:val="20"/>
          <w:szCs w:val="20"/>
          <w:color w:val="auto"/>
        </w:rPr>
      </w:pPr>
    </w:p>
    <w:p>
      <w:pPr>
        <w:ind w:left="980"/>
        <w:spacing w:after="0" w:line="207" w:lineRule="exact"/>
        <w:tabs>
          <w:tab w:leader="none" w:pos="188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No</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 If “yes” to Section 3(a), did you receive your Registrable Securities as compensation for investment banking services to the Company?</w:t>
      </w:r>
    </w:p>
    <w:p>
      <w:pPr>
        <w:spacing w:after="0" w:line="184" w:lineRule="exact"/>
        <w:rPr>
          <w:sz w:val="20"/>
          <w:szCs w:val="20"/>
          <w:color w:val="auto"/>
        </w:rPr>
      </w:pPr>
    </w:p>
    <w:p>
      <w:pPr>
        <w:ind w:left="980"/>
        <w:spacing w:after="0" w:line="207" w:lineRule="exact"/>
        <w:tabs>
          <w:tab w:leader="none" w:pos="188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No</w:t>
      </w:r>
    </w:p>
    <w:p>
      <w:pPr>
        <w:spacing w:after="0" w:line="2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Note: </w:t>
      </w:r>
      <w:r>
        <w:rPr>
          <w:rFonts w:ascii="Times New Roman" w:cs="Times New Roman" w:eastAsia="Times New Roman" w:hAnsi="Times New Roman"/>
          <w:sz w:val="18"/>
          <w:szCs w:val="18"/>
          <w:i w:val="1"/>
          <w:iCs w:val="1"/>
          <w:color w:val="auto"/>
        </w:rPr>
        <w:t>If “no” to Section 3(b), the Commission’s staff has indicated that you should be identified as an underwriter in the Registration Statement.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 Are you an affiliate of a broker-dealer?</w:t>
      </w:r>
    </w:p>
    <w:p>
      <w:pPr>
        <w:spacing w:after="0" w:line="184" w:lineRule="exact"/>
        <w:rPr>
          <w:sz w:val="20"/>
          <w:szCs w:val="20"/>
          <w:color w:val="auto"/>
        </w:rPr>
      </w:pPr>
    </w:p>
    <w:p>
      <w:pPr>
        <w:ind w:left="980"/>
        <w:spacing w:after="0" w:line="207" w:lineRule="exact"/>
        <w:tabs>
          <w:tab w:leader="none" w:pos="188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No</w:t>
      </w:r>
    </w:p>
    <w:p>
      <w:pPr>
        <w:spacing w:after="0" w:line="266" w:lineRule="exact"/>
        <w:rPr>
          <w:sz w:val="20"/>
          <w:szCs w:val="20"/>
          <w:color w:val="auto"/>
        </w:rPr>
      </w:pPr>
    </w:p>
    <w:p>
      <w:pPr>
        <w:jc w:val="both"/>
        <w:ind w:left="340" w:hanging="8"/>
        <w:spacing w:after="0" w:line="266" w:lineRule="auto"/>
        <w:tabs>
          <w:tab w:leader="none" w:pos="601"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p>
      <w:pPr>
        <w:spacing w:after="0" w:line="135" w:lineRule="exact"/>
        <w:rPr>
          <w:sz w:val="20"/>
          <w:szCs w:val="20"/>
          <w:color w:val="auto"/>
        </w:rPr>
      </w:pPr>
    </w:p>
    <w:p>
      <w:pPr>
        <w:ind w:left="980"/>
        <w:spacing w:after="0" w:line="207" w:lineRule="exact"/>
        <w:tabs>
          <w:tab w:leader="none" w:pos="188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No</w:t>
      </w:r>
    </w:p>
    <w:p>
      <w:pPr>
        <w:spacing w:after="0" w:line="2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Note: </w:t>
      </w:r>
      <w:r>
        <w:rPr>
          <w:rFonts w:ascii="Times New Roman" w:cs="Times New Roman" w:eastAsia="Times New Roman" w:hAnsi="Times New Roman"/>
          <w:sz w:val="18"/>
          <w:szCs w:val="18"/>
          <w:i w:val="1"/>
          <w:iCs w:val="1"/>
          <w:color w:val="auto"/>
        </w:rPr>
        <w:t>If “no” to Section 3(d), the Commission’s staff has indicated that you should be identified as an underwriter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Beneficial Ownership of Securities of the Company Owned by the Selling Stockholder.</w:t>
      </w:r>
    </w:p>
    <w:p>
      <w:pPr>
        <w:spacing w:after="0" w:line="227" w:lineRule="exact"/>
        <w:rPr>
          <w:sz w:val="20"/>
          <w:szCs w:val="20"/>
          <w:color w:val="auto"/>
        </w:rPr>
      </w:pPr>
    </w:p>
    <w:p>
      <w:pPr>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Except as set forth below in this Item 4, the undersigned is not the beneficial or registered owner of any securities of the Company other than the securities issuable pursuant to the Purchase Agreement.</w:t>
      </w:r>
    </w:p>
    <w:p>
      <w:pPr>
        <w:spacing w:after="0" w:line="160" w:lineRule="exact"/>
        <w:rPr>
          <w:sz w:val="20"/>
          <w:szCs w:val="20"/>
          <w:color w:val="auto"/>
        </w:rPr>
      </w:pPr>
    </w:p>
    <w:p>
      <w:pPr>
        <w:ind w:left="580" w:hanging="248"/>
        <w:spacing w:after="0"/>
        <w:tabs>
          <w:tab w:leader="none" w:pos="58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and amount of other securities beneficially owned by the Selling Stockholder:</w:t>
      </w:r>
    </w:p>
    <w:p>
      <w:pPr>
        <w:spacing w:after="0" w:line="200" w:lineRule="exact"/>
        <w:rPr>
          <w:rFonts w:ascii="Times New Roman" w:cs="Times New Roman" w:eastAsia="Times New Roman" w:hAnsi="Times New Roman"/>
          <w:sz w:val="18"/>
          <w:szCs w:val="18"/>
          <w:color w:val="auto"/>
        </w:rPr>
      </w:pPr>
    </w:p>
    <w:p>
      <w:pPr>
        <w:spacing w:after="0" w:line="250"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Relationships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-262255</wp:posOffset>
            </wp:positionV>
            <wp:extent cx="687514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75145" cy="8255"/>
                    </a:xfrm>
                    <a:prstGeom prst="rect">
                      <a:avLst/>
                    </a:prstGeom>
                    <a:noFill/>
                  </pic:spPr>
                </pic:pic>
              </a:graphicData>
            </a:graphic>
          </wp:anchor>
        </w:drawing>
      </w:r>
    </w:p>
    <w:p>
      <w:pPr>
        <w:spacing w:after="0" w:line="207"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Except as set forth below, neither the undersigned nor any of its affiliates, officers, directors or principal equity holders (owners of 5% or more of the equity securities of the undersigned) has held any position or office or has had any other material relationship with the Company (or its predecessors or affiliates) during the past three years.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State any exceptions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154305</wp:posOffset>
            </wp:positionV>
            <wp:extent cx="687514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7514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undersigned agrees to promptly notify the Company of any inaccuracies or changes in the information provided herein that may occur subsequent to the date hereof at any time while the Registration Statement remains effective.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8" w:name="page89"/>
    <w:bookmarkEnd w:id="88"/>
    <w:p>
      <w:pPr>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by authority duly given, has caused this Notice and Questionnaire to be executed and delivered either in person or by its duly authorized agent.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Beneficial Owner: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80" w:type="dxa"/>
            <w:vAlign w:val="bottom"/>
            <w:gridSpan w:val="3"/>
          </w:tcPr>
          <w:p>
            <w:pPr>
              <w:jc w:val="center"/>
              <w:ind w:right="1560"/>
              <w:spacing w:after="0"/>
              <w:rPr>
                <w:sz w:val="20"/>
                <w:szCs w:val="20"/>
                <w:color w:val="auto"/>
              </w:rPr>
            </w:pPr>
            <w:r>
              <w:rPr>
                <w:rFonts w:ascii="Times New Roman" w:cs="Times New Roman" w:eastAsia="Times New Roman" w:hAnsi="Times New Roman"/>
                <w:sz w:val="18"/>
                <w:szCs w:val="18"/>
                <w:b w:val="1"/>
                <w:bCs w:val="1"/>
                <w:color w:val="auto"/>
                <w:w w:val="97"/>
              </w:rPr>
              <w:t>EXHIBIT A</w:t>
            </w:r>
          </w:p>
        </w:tc>
        <w:tc>
          <w:tcPr>
            <w:tcW w:w="3600" w:type="dxa"/>
            <w:vAlign w:val="bottom"/>
          </w:tcPr>
          <w:p>
            <w:pPr>
              <w:spacing w:after="0"/>
              <w:rPr>
                <w:sz w:val="17"/>
                <w:szCs w:val="17"/>
                <w:color w:val="auto"/>
              </w:rPr>
            </w:pPr>
          </w:p>
        </w:tc>
      </w:tr>
      <w:tr>
        <w:trPr>
          <w:trHeight w:val="434"/>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 of Common Stock and/or</w:t>
            </w:r>
          </w:p>
        </w:tc>
      </w:tr>
      <w:tr>
        <w:trPr>
          <w:trHeight w:val="234"/>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and Address of Purchaser</w:t>
            </w:r>
          </w:p>
        </w:tc>
        <w:tc>
          <w:tcPr>
            <w:tcW w:w="380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color w:val="auto"/>
                <w:w w:val="99"/>
              </w:rPr>
              <w:t>Amount of Securities to be Purchased</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Pre-Funded Warrants</w:t>
            </w:r>
          </w:p>
        </w:tc>
      </w:tr>
      <w:tr>
        <w:trPr>
          <w:trHeight w:val="209"/>
        </w:trPr>
        <w:tc>
          <w:tcPr>
            <w:tcW w:w="36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PLACEMENT AGENCY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May 21,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PERSONAL AND CONFIDENTIAL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HCW Biologics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2929 N. Commerce Parkway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Miramar, FL 33025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Hing Wong, Ph.D.,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Dr. Wong:</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agreement (the “Agreement”) constitutes the agreement between E.F. Hutton &amp; Co. (the “Placement Agent”) on one hand, and HCW Biologics Inc., a Delaware corporation (the “Company” and each of the Company and the Placement Agent, a “Party” and, together, the “Parties”) on the other hand, pursuant to which the Placement Agent shall serve as the exclusive placement agent for the Company, on a “reasonable best efforts” basis, in connection with the proposed placement (the “Placement”) of 2,846,975 shares (the “Shares”) of the Company’s common stock, par value $0.0001 per share (“Common Stock”) (or pre-funded warrants to purchase Common Stock (the “Pre-Funded Warrants”) in lieu of shares of Common Stock), and 2,846,975 warrants to purchase 2,846,975 shares of Common Stock (the “Common Warrants”). The Shares, Pre-Funded Warrants and Common Warrants are collectively referred to herein as the “Securities.” The terms of the Placement and the Securities shall be mutually agreed upon by the Company and the purchasers (each, a “Purchaser” and collectively, the “Purchasers”) and nothing herein constitutes that the Placement Agent would have the power or authority to bind the Company or any Purchaser or an obligation for the Company to issue any Securities or complete the Placement. This Agreement and the documents executed and delivered by the Company and the Purchasers in connection with the Placement, including, without limitation, a securities purchase agreement (the “Purchase Agreement”), Pre-Funded Warrant certificates and Common Warrant certificates, are collectively referred to as the “Transaction Documents.” The closing of the Placement shall be referred to herein as the “Closing” and the date of the Closing shall be referred to herein as the “Closing Date.”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expressly acknowledges and agrees that the Placement Agent’s obligations hereunder are on a reasonable best efforts basis only and that the execution of this Agreement does not constitute a commitment by the Placement Agent to purchase the Securities and does not ensure the successful placement of the Securities or any portion thereof or the success of the Placement Agent with respect to securing any other financing on behalf of the Company. With the prior written consent of the Company, the Placement Agent may retain other brokers or dealers to act as sub-agents or selected-dealers on its behalf in connection with the Placement. Capitalized terms that are not otherwise defined herein have the meanings given to such terms in the Purchase Agreement.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hereby confirms its agreement with the Placement Agent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1. Agreement to Act as Placement Agent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8"/>
        <w:spacing w:after="0" w:line="253" w:lineRule="auto"/>
        <w:tabs>
          <w:tab w:leader="none" w:pos="2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basis of the representations, warranties, and agreements of the Company herein contained, and subject to all the terms and conditions of this Agreement, the Placement Agent shall be the exclusive placement agent in connection with the offering and sale by the Company of the Securities, with the terms of such offering (the “</w:t>
      </w:r>
      <w:r>
        <w:rPr>
          <w:rFonts w:ascii="Times New Roman" w:cs="Times New Roman" w:eastAsia="Times New Roman" w:hAnsi="Times New Roman"/>
          <w:sz w:val="18"/>
          <w:szCs w:val="18"/>
          <w:b w:val="1"/>
          <w:bCs w:val="1"/>
          <w:u w:val="single" w:color="auto"/>
          <w:color w:val="auto"/>
        </w:rPr>
        <w:t>Offering</w:t>
      </w:r>
      <w:r>
        <w:rPr>
          <w:rFonts w:ascii="Times New Roman" w:cs="Times New Roman" w:eastAsia="Times New Roman" w:hAnsi="Times New Roman"/>
          <w:sz w:val="18"/>
          <w:szCs w:val="18"/>
          <w:color w:val="auto"/>
        </w:rPr>
        <w:t>”) to be subject to market conditions and negotiations between the Company, the Placement Agent, and the prospective Purchasers. The Placement Agent will act on a reasonable best efforts basis and the Company agrees and acknowledges that there is no guarantee of the successful placement of the Securities, or any portion thereof, in the prospective Offering. Under no circumstances will the Placement Agent or any of its “Affiliates” (as defined below) be obligated to underwrite or purchase any of the Securities for its own account or otherwise provide any financing. The Placement Agent shall act solely as the Company’s agent and not as principal. The Placement Agent shall have no authority to bind the Company with respect to any prospective offer to purchase Securities and the Company shall have the sole right to accept offers to purchase Securities and may reject any such offer, in whole or in part. Subject to the terms and conditions hereof, payment of the purchase price for, and delivery of, the Securities shall be made at the Closing of the Offering as provided in the Purchase Agreements. As compensation for services rendered, on each Closing Date, the Company shall pay to the Placement Agent the fees and expenses set forth below:</w:t>
      </w:r>
    </w:p>
    <w:p>
      <w:pPr>
        <w:spacing w:after="0" w:line="192" w:lineRule="exact"/>
        <w:rPr>
          <w:sz w:val="20"/>
          <w:szCs w:val="20"/>
          <w:color w:val="auto"/>
        </w:rPr>
      </w:pPr>
    </w:p>
    <w:p>
      <w:pPr>
        <w:jc w:val="both"/>
        <w:ind w:left="980"/>
        <w:spacing w:after="0" w:line="266" w:lineRule="auto"/>
        <w:tabs>
          <w:tab w:leader="none" w:pos="119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fee equal to eight percent (8.0%) of the aggregate gross proceeds, excluding all proceeds from sales of Securities to any officers, directors, employees or significant existing stockholders of the Company, raised in the Offering, and excluding the exercise price to be paid upon exercise of any Common Warrants (the “</w:t>
      </w:r>
      <w:r>
        <w:rPr>
          <w:rFonts w:ascii="Times New Roman" w:cs="Times New Roman" w:eastAsia="Times New Roman" w:hAnsi="Times New Roman"/>
          <w:sz w:val="18"/>
          <w:szCs w:val="18"/>
          <w:b w:val="1"/>
          <w:bCs w:val="1"/>
          <w:u w:val="single" w:color="auto"/>
          <w:color w:val="auto"/>
        </w:rPr>
        <w:t>Cash Fee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1" w:name="page92"/>
    <w:bookmarkEnd w:id="91"/>
    <w:p>
      <w:pPr>
        <w:jc w:val="both"/>
        <w:ind w:left="980"/>
        <w:spacing w:after="0" w:line="266" w:lineRule="auto"/>
        <w:tabs>
          <w:tab w:leader="none" w:pos="125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non-accountable expense allowance equal to one-half of one percent (0.5%) of the aggregate gross proceeds, excluding all proceeds from sales of Securities to any officers, directors, employees or significant existing stockholders of the Company, raised in the Offering (the “</w:t>
      </w:r>
      <w:r>
        <w:rPr>
          <w:rFonts w:ascii="Times New Roman" w:cs="Times New Roman" w:eastAsia="Times New Roman" w:hAnsi="Times New Roman"/>
          <w:sz w:val="18"/>
          <w:szCs w:val="18"/>
          <w:b w:val="1"/>
          <w:bCs w:val="1"/>
          <w:u w:val="single" w:color="auto"/>
          <w:color w:val="auto"/>
        </w:rPr>
        <w:t>Non-Accountable Expense Fee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fees are due and payable to the Placement Agent immediately upon the closing of the Offering and shall be disbursed to the Placement Agent simultaneously with the delivery of the proceeds of the Offering to the Company.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avoidance of doubt, in the event the Company proceeds with a financing transaction outside of the Placement Agent with an Introduced Party, as defined below, during the term of this Agreement, the Placement Agent shall be entitled to receive full commissions at the percentage stated above.</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term “Introduced Party” refers to persons and/or entities introduced to the Company by the Placement Agent, to be subsequently memorialized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(each an “</w:t>
      </w:r>
      <w:r>
        <w:rPr>
          <w:rFonts w:ascii="Times New Roman" w:cs="Times New Roman" w:eastAsia="Times New Roman" w:hAnsi="Times New Roman"/>
          <w:sz w:val="18"/>
          <w:szCs w:val="18"/>
          <w:b w:val="1"/>
          <w:bCs w:val="1"/>
          <w:u w:val="single" w:color="auto"/>
          <w:color w:val="auto"/>
        </w:rPr>
        <w:t>Introduced Party</w:t>
      </w:r>
      <w:r>
        <w:rPr>
          <w:rFonts w:ascii="Times New Roman" w:cs="Times New Roman" w:eastAsia="Times New Roman" w:hAnsi="Times New Roman"/>
          <w:sz w:val="18"/>
          <w:szCs w:val="18"/>
          <w:color w:val="auto"/>
        </w:rPr>
        <w:t>”), which shall be updated from time to time. With respect to each Introduced Party, without limitation, the Company acknowledges that the Placement Agent is not responsible for the actions of the Introduced Parties or their agents. For the purposes of this Agreement, the Company shall be considered to have been introduced to a person and/or entity by the Placement Agent so long as the Placement Agent delivers any communication, including but not limited to an investment presentation, term sheet, introductory email, or other correspondence, relating to a potential financing transaction, to such person and/or entity and each such person and/or entity/investor is actually introduced to the management of the Company during the Term. Each such person and/or entity shall be listed on Schedule A within fifteen (15) days following such introduction. The Placement Agent’s failure to list a person or entity in Exhibit A shall not extinguish the Placement Agent’s right to compensation if the Placement Agent can demonstrate that such person or entity, was, in fact, introduced during the Term. The Placement Agent may, in its sole discretion, provide a term sheet with material terms of the investment from potential investors without disclosing their actual names to the Company unless and until it is required for closing for the Company to receive their names.</w:t>
      </w:r>
    </w:p>
    <w:p>
      <w:pPr>
        <w:spacing w:after="0" w:line="188" w:lineRule="exact"/>
        <w:rPr>
          <w:sz w:val="20"/>
          <w:szCs w:val="20"/>
          <w:color w:val="auto"/>
        </w:rPr>
      </w:pPr>
    </w:p>
    <w:p>
      <w:pPr>
        <w:ind w:firstLine="8"/>
        <w:spacing w:after="0" w:line="286" w:lineRule="auto"/>
        <w:tabs>
          <w:tab w:leader="none" w:pos="26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(the “</w:t>
      </w:r>
      <w:r>
        <w:rPr>
          <w:rFonts w:ascii="Times New Roman" w:cs="Times New Roman" w:eastAsia="Times New Roman" w:hAnsi="Times New Roman"/>
          <w:sz w:val="18"/>
          <w:szCs w:val="18"/>
          <w:b w:val="1"/>
          <w:bCs w:val="1"/>
          <w:u w:val="single" w:color="auto"/>
          <w:color w:val="auto"/>
        </w:rPr>
        <w:t>Term</w:t>
      </w:r>
      <w:r>
        <w:rPr>
          <w:rFonts w:ascii="Times New Roman" w:cs="Times New Roman" w:eastAsia="Times New Roman" w:hAnsi="Times New Roman"/>
          <w:sz w:val="18"/>
          <w:szCs w:val="18"/>
          <w:color w:val="auto"/>
        </w:rPr>
        <w:t>”) of the Placement Agent’s exclusive engagement for the Offering will begin on the date of this Agreement and end upon the earlier of thirty (30) days after the date of this Agreement or the date of the Closing unless extended or earlier terminated by the Parties in writing.</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Notwithstanding anything to the contrary contained herein, the provisions concerning the payment of fees, reimbursement of expenses, tail, indemnification and contribution, confidentiality, conflicts, independent contractor, and waiver of the right to trial by jury will survive any expiration or termination of this Agreement. Notwithstanding anything to the contrary contained herein, the Company has the right to terminate this Agreement for cause in compliance with FINRA Rule 5110(g)(5)(B)(i). The exercise of such right of termination for cause eliminates the Company’s obligations with respect to the provisions relating to the tail fees. Notwithstanding anything to the contrary contained in this Agreement, in the event that the Offering pursuant to this Agreement shall not be carried out for any reason whatsoever during the Term, the Company shall be obligated to pay to the Placement Agent its actual and accountable out-of-pocket expenses related to the Offering (including the fees and disbursements of the Placement Agent’s legal counsel) as set forth in Section 6 hereunder.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2" w:name="page93"/>
    <w:bookmarkEnd w:id="92"/>
    <w:p>
      <w:pPr>
        <w:jc w:val="both"/>
        <w:spacing w:after="0" w:line="252" w:lineRule="auto"/>
        <w:rPr>
          <w:sz w:val="20"/>
          <w:szCs w:val="20"/>
          <w:color w:val="auto"/>
        </w:rPr>
      </w:pPr>
      <w:r>
        <w:rPr>
          <w:rFonts w:ascii="Times New Roman" w:cs="Times New Roman" w:eastAsia="Times New Roman" w:hAnsi="Times New Roman"/>
          <w:sz w:val="18"/>
          <w:szCs w:val="18"/>
          <w:color w:val="auto"/>
        </w:rPr>
        <w:t>Nothing in this Agreement shall be construed to limit the ability of the Placement Agent or its Affiliates to pursue, investigate, analyze, invest in, or engage in investment banking, financial advisory, or any other business relationship with Persons (as defined below) other than the Company. As used herein (i) “</w:t>
      </w:r>
      <w:r>
        <w:rPr>
          <w:rFonts w:ascii="Times New Roman" w:cs="Times New Roman" w:eastAsia="Times New Roman" w:hAnsi="Times New Roman"/>
          <w:sz w:val="18"/>
          <w:szCs w:val="18"/>
          <w:b w:val="1"/>
          <w:bCs w:val="1"/>
          <w:u w:val="single" w:color="auto"/>
          <w:color w:val="auto"/>
        </w:rPr>
        <w:t>Persons</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 and (ii) “</w:t>
      </w:r>
      <w:r>
        <w:rPr>
          <w:rFonts w:ascii="Times New Roman" w:cs="Times New Roman" w:eastAsia="Times New Roman" w:hAnsi="Times New Roman"/>
          <w:sz w:val="18"/>
          <w:szCs w:val="18"/>
          <w:b w:val="1"/>
          <w:bCs w:val="1"/>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 of 1933, as amended (the “</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The Company shall furnish, or cause to be furnished, to the Placement Agent all information requested by the Placement Agent for the purpose of rendering services hereunder and conducting due diligence (all such information being the “</w:t>
      </w:r>
      <w:r>
        <w:rPr>
          <w:rFonts w:ascii="Times New Roman" w:cs="Times New Roman" w:eastAsia="Times New Roman" w:hAnsi="Times New Roman"/>
          <w:sz w:val="18"/>
          <w:szCs w:val="18"/>
          <w:b w:val="1"/>
          <w:bCs w:val="1"/>
          <w:u w:val="single" w:color="auto"/>
          <w:color w:val="auto"/>
        </w:rPr>
        <w:t>Information</w:t>
      </w:r>
      <w:r>
        <w:rPr>
          <w:rFonts w:ascii="Times New Roman" w:cs="Times New Roman" w:eastAsia="Times New Roman" w:hAnsi="Times New Roman"/>
          <w:sz w:val="18"/>
          <w:szCs w:val="18"/>
          <w:color w:val="auto"/>
        </w:rPr>
        <w:t>”). In addition, the Company agrees to make available to the Placement Agent upon request from time to time the officers, directors, accountants, counsel and other advisors of the Company. The Company recognizes and confirms that the Placement Agent (a) will use and rely upon the Information, including any documents provided to investors in each Offering (the “</w:t>
      </w:r>
      <w:r>
        <w:rPr>
          <w:rFonts w:ascii="Times New Roman" w:cs="Times New Roman" w:eastAsia="Times New Roman" w:hAnsi="Times New Roman"/>
          <w:sz w:val="18"/>
          <w:szCs w:val="18"/>
          <w:b w:val="1"/>
          <w:bCs w:val="1"/>
          <w:u w:val="single" w:color="auto"/>
          <w:color w:val="auto"/>
        </w:rPr>
        <w:t>Offering Documents</w:t>
      </w:r>
      <w:r>
        <w:rPr>
          <w:rFonts w:ascii="Times New Roman" w:cs="Times New Roman" w:eastAsia="Times New Roman" w:hAnsi="Times New Roman"/>
          <w:sz w:val="18"/>
          <w:szCs w:val="18"/>
          <w:color w:val="auto"/>
        </w:rPr>
        <w:t>”) and upon information available from generally recognized public sources in performing the services contemplated by this Agreement without having independently verified the same; (b) does not assume responsibility for the accuracy or completeness of the Offering Documents or the Information and such other information; and</w:t>
      </w:r>
    </w:p>
    <w:p>
      <w:pPr>
        <w:spacing w:after="0" w:line="2" w:lineRule="exact"/>
        <w:rPr>
          <w:sz w:val="20"/>
          <w:szCs w:val="20"/>
          <w:color w:val="auto"/>
        </w:rPr>
      </w:pPr>
    </w:p>
    <w:p>
      <w:pPr>
        <w:jc w:val="both"/>
        <w:ind w:firstLine="8"/>
        <w:spacing w:after="0" w:line="252" w:lineRule="auto"/>
        <w:tabs>
          <w:tab w:leader="none" w:pos="24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make an appraisal of any of the assets or liabilities of the Company. Upon reasonable request, the Company will meet with the Placement Agent or its representatives to discuss all information relevant for disclosure in the Offering Documents and will cooperate in any investigation undertaken by the Placement Agent thereof, including any document included or incorporated by reference therein. At the request of the Placement Agent, the Company shall deliver such legal letters, including, without limitation, opinions, comfort letters, officers’ and secretary certificates, and good standing certificates, all in a form and substance reasonably satisfactory to the Placement Agent and its counsel as is customary for the Offering. The Placement Agent shall be a third-party beneficiary of any representations and warranties, covenants made by the Company in any Offering Documents.</w:t>
      </w:r>
    </w:p>
    <w:p>
      <w:pPr>
        <w:spacing w:after="0" w:line="190" w:lineRule="exact"/>
        <w:rPr>
          <w:sz w:val="20"/>
          <w:szCs w:val="20"/>
          <w:color w:val="auto"/>
        </w:rPr>
      </w:pPr>
    </w:p>
    <w:p>
      <w:pPr>
        <w:jc w:val="both"/>
        <w:ind w:firstLine="8"/>
        <w:spacing w:after="0" w:line="256" w:lineRule="auto"/>
        <w:tabs>
          <w:tab w:leader="none" w:pos="257"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the Offering shall be conducted pursuant to the Purchase Agreement via wire transfer and such Securities shall be registered in such name or names and shall be in such denominations as set forth on the signature page of each respective Purchaser of the Purchase Agreement. The Placement Agent shall not have any independent obligation to verify the accuracy or completeness of any information contained in the Purchase Agreement or other subscription documents for the Offering (the “</w:t>
      </w:r>
      <w:r>
        <w:rPr>
          <w:rFonts w:ascii="Times New Roman" w:cs="Times New Roman" w:eastAsia="Times New Roman" w:hAnsi="Times New Roman"/>
          <w:sz w:val="18"/>
          <w:szCs w:val="18"/>
          <w:b w:val="1"/>
          <w:bCs w:val="1"/>
          <w:u w:val="single" w:color="auto"/>
          <w:color w:val="auto"/>
        </w:rPr>
        <w:t>Subscription Documents</w:t>
      </w:r>
      <w:r>
        <w:rPr>
          <w:rFonts w:ascii="Times New Roman" w:cs="Times New Roman" w:eastAsia="Times New Roman" w:hAnsi="Times New Roman"/>
          <w:sz w:val="18"/>
          <w:szCs w:val="18"/>
          <w:color w:val="auto"/>
        </w:rPr>
        <w:t>”) or the authenticity, sufficiency, or validity of any check delivered by any prospective Purchaser in payment for the Securities, nor shall the Placement Agent incur any liability with respect to any such verification or failure to verify.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2. Representations, Warranties, and Covenants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8"/>
        <w:spacing w:after="0" w:line="252" w:lineRule="auto"/>
        <w:tabs>
          <w:tab w:leader="none" w:pos="25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Representations of the Company. With respect to the Securities, each of the representations and warranties made by the Company to the Purchasers in the Purchase Agreement in connection with the Placement, is hereby incorporated herein by reference into this Agreement (as though fully restated herein) and is, as of the Closing Date, hereby made to, and in favor of, the Placement Agent. In addition to the foregoing, the Company represents and warrants that, to its knowledge, there are no affiliations with any Financial Industry Regulatory Authority (“FINRA”) member firm among the Company’s officers, directors or any holders of five percent (5.0%) or more of the outstanding shares of Common Stock. The Company further represents and warrants that: (i) the offer and sale of the Securities will be conducted in accordance with the exemption from registration provided by Section 4(a)(2) of the Securities Act and/or Rule 506(b) of Regulation D thereunder; (ii) neither the Company, nor any of its Subsidiaries, nor any person acting on its or their behalf (other than the Placement Agent or its agents, as to whom no representation is made) has engaged or will engage in any form of general solicitation or general advertising (within the meaning of Rule 502(c) under the Securities Act) in connection with the offer or sale of the Securities; (iii) neither the Company nor, to the Company’s knowledge, any of its directors, executive officers, beneficial owners of 20% or more of the Company’s outstanding voting equity securities (calculated on the basis of voting power), promoters or any other Person that may be deemed a “covered person” under Rule 506(d) of Regulation D, is subject to any of the “bad actor” disqualifications described in Rule 506(d)(1)(i) through (viii) under the Securities Act; (iv) prior to providing any material non-public information regarding the Company to any prospective Purchaser, the Company has obtained, or has caused the Placement Agent to obtain on its behalf, such prospective Purchaser’s written agreement to receive, and to maintain in confidence, such information until such information has been publicly disclosed by the Company, and the Company shall publicly disclose all such material non-public information by filing a Current Report on Form 8-K with the Commission no later than the first Trading Day following the date of this Agreement; and (v) the Company has not relied on any advice or recommendation of the Placement Agent in determining whether to engage in the Offering and is solely responsible for the contents of the Disclosure Materials and the Transaction Documents.</w:t>
      </w:r>
    </w:p>
    <w:p>
      <w:pPr>
        <w:spacing w:after="0" w:line="191" w:lineRule="exact"/>
        <w:rPr>
          <w:rFonts w:ascii="Times New Roman" w:cs="Times New Roman" w:eastAsia="Times New Roman" w:hAnsi="Times New Roman"/>
          <w:sz w:val="18"/>
          <w:szCs w:val="18"/>
          <w:color w:val="auto"/>
        </w:rPr>
      </w:pPr>
    </w:p>
    <w:p>
      <w:pPr>
        <w:jc w:val="both"/>
        <w:ind w:firstLine="8"/>
        <w:spacing w:after="0" w:line="266" w:lineRule="auto"/>
        <w:tabs>
          <w:tab w:leader="none" w:pos="26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covenants and agrees to continue to retain (i) a firm of Public Company Accounting Oversight Board independent registered public accountants for a period of at least two (2) years after the Closing Date and (ii) a competent transfer agent with respect to the Shares for a period of two (2) years after the Closing Date.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3" w:name="page94"/>
    <w:bookmarkEnd w:id="93"/>
    <w:p>
      <w:pPr>
        <w:jc w:val="both"/>
        <w:ind w:firstLine="8"/>
        <w:spacing w:after="0" w:line="255" w:lineRule="auto"/>
        <w:tabs>
          <w:tab w:leader="none" w:pos="25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of the Placement Agent</w:t>
      </w:r>
      <w:r>
        <w:rPr>
          <w:rFonts w:ascii="Times New Roman" w:cs="Times New Roman" w:eastAsia="Times New Roman" w:hAnsi="Times New Roman"/>
          <w:sz w:val="18"/>
          <w:szCs w:val="18"/>
          <w:color w:val="auto"/>
        </w:rPr>
        <w:t>. The Placement Agent represents and warrants that it (i) is a member in good standing of FINRA, (ii) is registered with the Commission as a broker/dealer under the Securities Exchange Act of 1934, as amended (the “</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(iii) is licensed as a broker/dealer under the laws of the United States of America, applicable to the offers and sales of the Securities by the Placement Agent, (iv) is and will be a corporate body validly existing under the laws of its place of incorporation, and (v) has full power and authority to enter into and perform its obligations under this Agreement. The Placement Agent will immediately notify the Company in writing of any change in its status with respect to subsections (i) through (v) above. The Placement Agent covenants that it will use its reasonable best efforts to conduct the Placement hereunder in compliance with the provisions of this Agreement and the requirements of applicable law.</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Section 3. Delivery and Payment</w:t>
      </w:r>
      <w:r>
        <w:rPr>
          <w:rFonts w:ascii="Times New Roman" w:cs="Times New Roman" w:eastAsia="Times New Roman" w:hAnsi="Times New Roman"/>
          <w:sz w:val="18"/>
          <w:szCs w:val="18"/>
          <w:color w:val="auto"/>
        </w:rPr>
        <w:t>. The Closing shall occur at the offices of Clark Hill PLC, Company Counsel (or at such other place as shall be agreed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by the Parties, including via remote transmission of Closing documentation and the Transaction Documents). Subject to the terms and conditions hereof, at the Closing, payment of the purchase price for the Securities sold on the Closing Date shall be made by federal funds via wire transfer, and such Securities shall be registered in such name or names and shall be in such denominations, as the Placement Agent may request at least one business day before the time of purchase.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Deliveries of the documents with respect to the purchase of the Securities, if any, shall be made at the offices of Company Counsel. All actions taken at the Closing shall be deemed to have occurred simultaneously. The Company and the Placement Agent may agree to conduct one or more Closings of the Offering.</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Section 4. Closing</w:t>
      </w:r>
      <w:r>
        <w:rPr>
          <w:rFonts w:ascii="Times New Roman" w:cs="Times New Roman" w:eastAsia="Times New Roman" w:hAnsi="Times New Roman"/>
          <w:sz w:val="18"/>
          <w:szCs w:val="18"/>
          <w:color w:val="auto"/>
        </w:rPr>
        <w:t>. The obligations of the Placement Agent and the closing of the sale of the Securities (the “Placement Agent Securities”) are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accuracy, when made and on the Closing Date, of the representations and warranties on the part of the Company contained herein and in the Purchase Agreement, to the performance by the Company of its obligations hereunder and under the Purchase Agreement, and to each of the following additional conditions, any of which may be waived in writing by the Placement Agent:</w:t>
      </w:r>
    </w:p>
    <w:p>
      <w:pPr>
        <w:spacing w:after="0" w:line="180" w:lineRule="exact"/>
        <w:rPr>
          <w:sz w:val="20"/>
          <w:szCs w:val="20"/>
          <w:color w:val="auto"/>
        </w:rPr>
      </w:pPr>
    </w:p>
    <w:p>
      <w:pPr>
        <w:ind w:left="900" w:hanging="244"/>
        <w:spacing w:after="0"/>
        <w:tabs>
          <w:tab w:leader="none" w:pos="9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The Transaction Documents between the Company and the Purchasers shall have been executed and delivered.</w:t>
      </w:r>
    </w:p>
    <w:p>
      <w:pPr>
        <w:spacing w:after="0" w:line="225" w:lineRule="exact"/>
        <w:rPr>
          <w:rFonts w:ascii="Times New Roman" w:cs="Times New Roman" w:eastAsia="Times New Roman" w:hAnsi="Times New Roman"/>
          <w:sz w:val="18"/>
          <w:szCs w:val="18"/>
          <w:color w:val="auto"/>
        </w:rPr>
      </w:pPr>
    </w:p>
    <w:p>
      <w:pPr>
        <w:jc w:val="both"/>
        <w:ind w:left="660" w:hanging="4"/>
        <w:spacing w:after="0" w:line="258" w:lineRule="auto"/>
        <w:tabs>
          <w:tab w:leader="none" w:pos="92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Proceedings and Legal Opinion</w:t>
      </w:r>
      <w:r>
        <w:rPr>
          <w:rFonts w:ascii="Times New Roman" w:cs="Times New Roman" w:eastAsia="Times New Roman" w:hAnsi="Times New Roman"/>
          <w:sz w:val="18"/>
          <w:szCs w:val="18"/>
          <w:color w:val="auto"/>
        </w:rPr>
        <w:t>. All corporate proceedings and other legal matters incident to the authorization, execution, and delivery of this Agreement, the Purchase Agreement (as filed with the Secretary of State of Delaware), and the transactions contemplated hereby shall be completed or resolved in a manner reasonably satisfactory to the Placement Agent. The Placement Agent shall have received a legal opinion from Company Counsel, addressed to the Placement Agent and dated as of the Closing Date, in form and substance reasonably acceptable to the Placement Agent.</w:t>
      </w:r>
    </w:p>
    <w:p>
      <w:pPr>
        <w:spacing w:after="0" w:line="183" w:lineRule="exact"/>
        <w:rPr>
          <w:rFonts w:ascii="Times New Roman" w:cs="Times New Roman" w:eastAsia="Times New Roman" w:hAnsi="Times New Roman"/>
          <w:sz w:val="18"/>
          <w:szCs w:val="18"/>
          <w:color w:val="auto"/>
        </w:rPr>
      </w:pPr>
    </w:p>
    <w:p>
      <w:pPr>
        <w:jc w:val="both"/>
        <w:ind w:left="660" w:hanging="4"/>
        <w:spacing w:after="0" w:line="254" w:lineRule="auto"/>
        <w:tabs>
          <w:tab w:leader="none" w:pos="913"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Adverse Change. Subsequent to the execution and delivery of this Agreement and prior to the Closing Date, there shall not have occurred any material adverse change or development involving a prospective material adverse change in the condition or the business activities, financial or otherwise, of the Company from the latest dates as of which such condition is set forth in the Company’s SEC Reports, the Disclosure Materials and the Disclosure Schedules to the Purchase Agreement (a “Material Adverse Change”). In addition, subsequent to the execution and delivery of this Agreement and prior to the Closing Date, in the Placement Agent’s reasonable judgment after consultation with the Company, there shall not have occurred any (i) a material adverse effect on the legality, validity, or enforceability of any Transaction Document, (ii) a material adverse effect on the results of operations, assets, business, prospects, or condition (financial or otherwise) of the Company and the subsidiaries of the Company, taken as a whole, or (iii) a material adverse effect on the Company’s ability to perform in any material respect on a timely basis its obligations under any Transaction Document.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4" w:name="page95"/>
    <w:bookmarkEnd w:id="94"/>
    <w:p>
      <w:pPr>
        <w:jc w:val="both"/>
        <w:ind w:left="660" w:hanging="4"/>
        <w:spacing w:after="0" w:line="253" w:lineRule="auto"/>
        <w:tabs>
          <w:tab w:leader="none" w:pos="91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and Secretary’s Certificates</w:t>
      </w:r>
      <w:r>
        <w:rPr>
          <w:rFonts w:ascii="Times New Roman" w:cs="Times New Roman" w:eastAsia="Times New Roman" w:hAnsi="Times New Roman"/>
          <w:sz w:val="18"/>
          <w:szCs w:val="18"/>
          <w:color w:val="auto"/>
        </w:rPr>
        <w:t>. The Placement Agent has received customary certificates of the Company’s Chief Executive Officer and Chief Financial Officer (the “</w:t>
      </w:r>
      <w:r>
        <w:rPr>
          <w:rFonts w:ascii="Times New Roman" w:cs="Times New Roman" w:eastAsia="Times New Roman" w:hAnsi="Times New Roman"/>
          <w:sz w:val="18"/>
          <w:szCs w:val="18"/>
          <w:b w:val="1"/>
          <w:bCs w:val="1"/>
          <w:u w:val="single" w:color="auto"/>
          <w:color w:val="auto"/>
        </w:rPr>
        <w:t>Officer’s Certificate</w:t>
      </w:r>
      <w:r>
        <w:rPr>
          <w:rFonts w:ascii="Times New Roman" w:cs="Times New Roman" w:eastAsia="Times New Roman" w:hAnsi="Times New Roman"/>
          <w:sz w:val="18"/>
          <w:szCs w:val="18"/>
          <w:color w:val="auto"/>
        </w:rPr>
        <w:t>”) as to the accuracy of the representations and warranties contained in the Purchase Agreement, and a certificate of the Company’s Secretary (or other suitable executive officer) (the “</w:t>
      </w:r>
      <w:r>
        <w:rPr>
          <w:rFonts w:ascii="Times New Roman" w:cs="Times New Roman" w:eastAsia="Times New Roman" w:hAnsi="Times New Roman"/>
          <w:sz w:val="18"/>
          <w:szCs w:val="18"/>
          <w:b w:val="1"/>
          <w:bCs w:val="1"/>
          <w:u w:val="single" w:color="auto"/>
          <w:color w:val="auto"/>
        </w:rPr>
        <w:t>Secretary’s Certificate</w:t>
      </w:r>
      <w:r>
        <w:rPr>
          <w:rFonts w:ascii="Times New Roman" w:cs="Times New Roman" w:eastAsia="Times New Roman" w:hAnsi="Times New Roman"/>
          <w:sz w:val="18"/>
          <w:szCs w:val="18"/>
          <w:color w:val="auto"/>
        </w:rPr>
        <w:t>”) certifying (i) that the Company’s organizational documents are true and complete, have not been modified and are in full force and effect; (ii) that the resolutions of the Company’s Board of Directors (or any authorized committee thereof) relating to the Placement are in full force and effect and have not been modified; and (iii) as to the incumbency of the officers of the Company. Each of the Officer’s Certificate and Secretary’s Certificate must be dated as of the Closing Date, and all documents referenced in the Secretary’s Certificate must be attached thereto. The Company shall have taken no action designed to terminate, or likely to have the effect of terminating, the registration of the Common Stock under the Exchange Act or delisting or suspending from trading the Common Stock from the Nasdaq Capital Market, nor has the Company received any information suggesting that the U.S. Securities and Exchange Commission (the “</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color w:val="auto"/>
        </w:rPr>
        <w:t>”) or the Nasdaq Capital Market or other U.S. applicable national exchange is contemplating terminating such registration or listing.</w:t>
      </w:r>
    </w:p>
    <w:p>
      <w:pPr>
        <w:spacing w:after="0" w:line="191" w:lineRule="exact"/>
        <w:rPr>
          <w:rFonts w:ascii="Times New Roman" w:cs="Times New Roman" w:eastAsia="Times New Roman" w:hAnsi="Times New Roman"/>
          <w:sz w:val="18"/>
          <w:szCs w:val="18"/>
          <w:color w:val="auto"/>
        </w:rPr>
      </w:pPr>
    </w:p>
    <w:p>
      <w:pPr>
        <w:ind w:left="660" w:hanging="4"/>
        <w:spacing w:after="0" w:line="282" w:lineRule="auto"/>
        <w:tabs>
          <w:tab w:leader="none" w:pos="90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 of Good Standing</w:t>
      </w:r>
      <w:r>
        <w:rPr>
          <w:rFonts w:ascii="Times New Roman" w:cs="Times New Roman" w:eastAsia="Times New Roman" w:hAnsi="Times New Roman"/>
          <w:sz w:val="18"/>
          <w:szCs w:val="18"/>
          <w:color w:val="auto"/>
        </w:rPr>
        <w:t>. The Company shall deliver a certificate of good standing of the Company issued by the Secretary of State of the State of Delaware as of a date within five (5) Business Days prior to the Closing Date.</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52" w:lineRule="auto"/>
        <w:tabs>
          <w:tab w:leader="none" w:pos="912"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Lock-Up Agreements</w:t>
      </w:r>
      <w:r>
        <w:rPr>
          <w:rFonts w:ascii="Times New Roman" w:cs="Times New Roman" w:eastAsia="Times New Roman" w:hAnsi="Times New Roman"/>
          <w:sz w:val="18"/>
          <w:szCs w:val="18"/>
          <w:color w:val="auto"/>
        </w:rPr>
        <w:t>. The Placement Agent shall have received duly executed Lock-Up Agreements, in form and substance reasonably satisfactory to the Placement Agent, duly executed and delivered by the Company, each of its executive officers and directors, each holder of five percent (5%) or more of the Company’s outstanding Common Stock, and each person or entity listed on Schedule B attached hereto pursuant to which such persons agree not to, directly or indirectly, offer, sell, contract to sell, grant any option to purchase, or otherwise dispose of any shares of the Company’s securities during the six (6) month period following the Closing Date, subject to customary exceptions. In addition, the Company shall agree not to, directly or indirectly, offer, sell, contract to sell, issue, or otherwise dispose of any shares of the Company’s securities during the forty-five (45) day period following the Closing Date, subject to customary exceptions, and provided that notwithstanding the foregoing or anything herein to the contrary, beginning on or after June 15, 2026, the Company may sell and issue shares of the Company’s Common Stock under its existing equity line of credit with Square Gate Capital Master Fund, LLC – Series 4 as in effect on the date hereof and as it may be amended from time to time (the “</w:t>
      </w:r>
      <w:r>
        <w:rPr>
          <w:rFonts w:ascii="Times New Roman" w:cs="Times New Roman" w:eastAsia="Times New Roman" w:hAnsi="Times New Roman"/>
          <w:sz w:val="18"/>
          <w:szCs w:val="18"/>
          <w:b w:val="1"/>
          <w:bCs w:val="1"/>
          <w:u w:val="single" w:color="auto"/>
          <w:color w:val="auto"/>
        </w:rPr>
        <w:t>ELOC</w:t>
      </w:r>
      <w:r>
        <w:rPr>
          <w:rFonts w:ascii="Times New Roman" w:cs="Times New Roman" w:eastAsia="Times New Roman" w:hAnsi="Times New Roman"/>
          <w:sz w:val="18"/>
          <w:szCs w:val="18"/>
          <w:color w:val="auto"/>
        </w:rPr>
        <w:t>”); provided, that any substantive amendment to the pricing terms (including the discount, floor price, pricing reference period, or VWAP measurement methodology) of the ELOC shall require the prior written consent of the Placement Agent (such consent not to be unreasonably withheld, conditioned or delayed); and provided further, that any sales by Square Gate Capital Master Fund, LLC – Series 4 under the ELOC shall comply with Regulation M under the Securities Exchange Act of 1934, as amended. The Company shall provide the Placement Agent with prompt written notice of any amendment to the equity line of credit during the standstill period.</w:t>
      </w:r>
    </w:p>
    <w:p>
      <w:pPr>
        <w:spacing w:after="0" w:line="197"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2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Agreement and Other Deliverables</w:t>
      </w:r>
      <w:r>
        <w:rPr>
          <w:rFonts w:ascii="Times New Roman" w:cs="Times New Roman" w:eastAsia="Times New Roman" w:hAnsi="Times New Roman"/>
          <w:sz w:val="18"/>
          <w:szCs w:val="18"/>
          <w:color w:val="auto"/>
        </w:rPr>
        <w:t>. The Company shall have delivered, or caused to be delivered, all deliverables set forth in the Purchase Agreement, in form and substance reasonably satisfactory to the Placement Agent and its counsel, and such agreements shall be in full force and effect.</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1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Legal Impediment</w:t>
      </w:r>
      <w:r>
        <w:rPr>
          <w:rFonts w:ascii="Times New Roman" w:cs="Times New Roman" w:eastAsia="Times New Roman" w:hAnsi="Times New Roman"/>
          <w:sz w:val="18"/>
          <w:szCs w:val="18"/>
          <w:color w:val="auto"/>
        </w:rPr>
        <w:t>. No statute, regulation, rule, executive order, decree, ruling, or injunction shall have been enacted, entered, promulgated, or endorsed by any court or governmental authority of competent jurisdiction which prohibits or materially adversely affects any of the transactions contemplated by this Agreement.</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9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Placement Agent Compensation. The Cash Fee and Non-Accountable Expense Fee calculated in the manner provided in Section 1(a), and reimbursement of expenses as set forth in Section 6, shall be paid or delivered to the Placement Agent at Closing by wire transfer of immediately available funds to an account specified by the Placement Agent to the Company prior to the Closing.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any condition specified in this Section 4 is not satisfied when and as required to be satisfied, this Agreement may be terminated by the Placement Agent by notice to the Company at any time on or prior to the Closing Date, which termination shall be without liability on the part of any party to any other party, except that Section 6 (Payment of Expenses), Section 7 (Indemnification and Contribution), Section 8 (Representations and Indemnities to Survive Delivery), and Section 14 (Tail) shall at all times be effective and shall survive such termination.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5" w:name="page96"/>
    <w:bookmarkEnd w:id="95"/>
    <w:p>
      <w:pPr>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Section 5. Covenants and Agreements of the Company and Placement Agent</w:t>
      </w:r>
      <w:r>
        <w:rPr>
          <w:rFonts w:ascii="Times New Roman" w:cs="Times New Roman" w:eastAsia="Times New Roman" w:hAnsi="Times New Roman"/>
          <w:sz w:val="18"/>
          <w:szCs w:val="18"/>
          <w:color w:val="auto"/>
        </w:rPr>
        <w:t>. The Company further covenants and agrees with the Placement Agent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follows:</w:t>
      </w:r>
    </w:p>
    <w:p>
      <w:pPr>
        <w:spacing w:after="0" w:line="159" w:lineRule="exact"/>
        <w:rPr>
          <w:sz w:val="20"/>
          <w:szCs w:val="20"/>
          <w:color w:val="auto"/>
        </w:rPr>
      </w:pPr>
    </w:p>
    <w:p>
      <w:pPr>
        <w:jc w:val="both"/>
        <w:ind w:firstLine="8"/>
        <w:spacing w:after="0" w:line="253" w:lineRule="auto"/>
        <w:tabs>
          <w:tab w:leader="none" w:pos="242"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Supplements and Other Matters. The Company will comply with the Securities Act and the Exchange Act, and the rules and regulations of the Commission thereunder, so as to permit the completion of the offer and sale of the Securities as contemplated in this Agreement and the Purchase Agreement. The Company shall conduct the Offering in compliance with the exemption from registration provided by Section 4(a)(2) of the Securities Act and/or Rule 506(b) of Regulation D thereunder. From the date hereof through and including the Closing Date, if any event shall occur as a result of which, in the judgment of the Company or in the opinion of the Placement Agent or Zarif Law Group P.C. (“Placement Agent Counsel”) acting as counsel for the Placement Agent, it becomes necessary to amend or supplement any of the Disclosure Materials in order to make the statements therein, in light of the circumstances under which they were made, not misleading, the Company will promptly prepare an appropriate amendment or supplement to such Disclosure Materials. Before distributing any such amendment or supplement, the Company will furnish the Placement Agent with a copy thereof and will not distribute any such amendment or supplement to which the Placement Agent reasonably objects. From and after the Closing Date, the Company shall comply with its obligations under the Registration Rights Agreement to register the resale of the Registrable Securities thereunder.</w:t>
      </w:r>
    </w:p>
    <w:p>
      <w:pPr>
        <w:spacing w:after="0" w:line="194" w:lineRule="exact"/>
        <w:rPr>
          <w:rFonts w:ascii="Times New Roman" w:cs="Times New Roman" w:eastAsia="Times New Roman" w:hAnsi="Times New Roman"/>
          <w:sz w:val="18"/>
          <w:szCs w:val="18"/>
          <w:color w:val="auto"/>
        </w:rPr>
      </w:pPr>
    </w:p>
    <w:p>
      <w:pPr>
        <w:jc w:val="both"/>
        <w:ind w:firstLine="8"/>
        <w:spacing w:after="0" w:line="261" w:lineRule="auto"/>
        <w:tabs>
          <w:tab w:leader="none" w:pos="282"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Disclosure Materials and Amendments and Supplements to the SEC Reports. The Company will furnish the Placement Agent, without charge, during the period beginning on the date hereof and ending on the Closing Date, as many copies of the Disclosure Materials, the SEC Reports and other documents to be furnished to the Purchasers as the Placement Agent may reasonably request; provided that the Company’s filing of the SEC Reports on the Electronic Data Gathering and Analysis Retrieval system of the SEC shall be deemed to satisfy this covenant.</w:t>
      </w:r>
    </w:p>
    <w:p>
      <w:pPr>
        <w:spacing w:after="0" w:line="17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The Company will maintain, at its expense, a transfer agent for the Securities.</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25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Reporting Obligations. For so long as any of the Securities (or shares of Common Stock issuable upon exercise of the Pre-Funded Warrants or the Common Warrants) are outstanding, the Company will duly file, on a timely basis, with the Commission and the Trading Market all reports and documents required to be filed under the Exchange Act within the time periods and in the manner required by the Exchange Act.</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4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Documents</w:t>
      </w:r>
      <w:r>
        <w:rPr>
          <w:rFonts w:ascii="Times New Roman" w:cs="Times New Roman" w:eastAsia="Times New Roman" w:hAnsi="Times New Roman"/>
          <w:sz w:val="18"/>
          <w:szCs w:val="18"/>
          <w:color w:val="auto"/>
        </w:rPr>
        <w:t>. The Company will enter into such customary Closing documentation as the Placement Agent or the Purchasers deem necessary or appropriate to consummate the Offering, all of which will be in form and substance reasonably acceptable to the Placement Agent and the Purchasers, in consultation with the Company.</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22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Manipulation of Price</w:t>
      </w:r>
      <w:r>
        <w:rPr>
          <w:rFonts w:ascii="Times New Roman" w:cs="Times New Roman" w:eastAsia="Times New Roman" w:hAnsi="Times New Roman"/>
          <w:sz w:val="18"/>
          <w:szCs w:val="18"/>
          <w:color w:val="auto"/>
        </w:rPr>
        <w:t>. The Company will not take, directly or indirectly, any action designed to cause or result in, or that has constituted or might reasonably be expected to constitute, the stabilization or manipulation of the price of any of its securities, including of its Common Stock.</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5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w:t>
      </w:r>
      <w:r>
        <w:rPr>
          <w:rFonts w:ascii="Times New Roman" w:cs="Times New Roman" w:eastAsia="Times New Roman" w:hAnsi="Times New Roman"/>
          <w:sz w:val="18"/>
          <w:szCs w:val="18"/>
          <w:color w:val="auto"/>
        </w:rPr>
        <w:t>. The Company acknowledges that any advice given by the Placement Agent to the Company is solely for the benefit and use of the Board of Directors and may not be used, reproduced, disseminated, quoted, or referred to, without the Placement Agent’s prior written consent.</w:t>
      </w:r>
    </w:p>
    <w:p>
      <w:pPr>
        <w:spacing w:after="0" w:line="161" w:lineRule="exact"/>
        <w:rPr>
          <w:rFonts w:ascii="Times New Roman" w:cs="Times New Roman" w:eastAsia="Times New Roman" w:hAnsi="Times New Roman"/>
          <w:sz w:val="18"/>
          <w:szCs w:val="18"/>
          <w:color w:val="auto"/>
        </w:rPr>
      </w:pPr>
    </w:p>
    <w:p>
      <w:pPr>
        <w:jc w:val="both"/>
        <w:ind w:firstLine="8"/>
        <w:spacing w:after="0" w:line="254" w:lineRule="auto"/>
        <w:tabs>
          <w:tab w:leader="none" w:pos="26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Announcement of Offering</w:t>
      </w:r>
      <w:r>
        <w:rPr>
          <w:rFonts w:ascii="Times New Roman" w:cs="Times New Roman" w:eastAsia="Times New Roman" w:hAnsi="Times New Roman"/>
          <w:sz w:val="18"/>
          <w:szCs w:val="18"/>
          <w:color w:val="auto"/>
        </w:rPr>
        <w:t>. The Company acknowledges and agrees that the Placement Agent may, subsequent to the Closing and at the Placement Agent’s expense, make public its involvement with the Offering. Prior to issuing any press release, public announcement, or other public communication that references the Offering, its terms, any participating investor, or the Placement Agent, the Company shall provide the Placement Agent with a draft no later than two (2) business days prior to issuance. The Placement Agent shall have the right to review and approve such communication, which approval shall not be unreasonably withheld, conditioned, or delayed, and shall be deemed given if the Placement Agent does not respond within such two (2) business day period. If applicable law or stock exchange rule requires disclosure on an expedited basis, the Company shall notify the Placement Agent as soon as practicable, use commercially reasonable efforts to incorporate the Placement Agent’s comments prior to issuance, and provide the Placement Agent a copy of the final communication upon release.</w:t>
      </w:r>
    </w:p>
    <w:p>
      <w:pPr>
        <w:spacing w:after="0" w:line="191"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 on Others</w:t>
      </w:r>
      <w:r>
        <w:rPr>
          <w:rFonts w:ascii="Times New Roman" w:cs="Times New Roman" w:eastAsia="Times New Roman" w:hAnsi="Times New Roman"/>
          <w:sz w:val="18"/>
          <w:szCs w:val="18"/>
          <w:color w:val="auto"/>
        </w:rPr>
        <w:t>. The Company confirms that it will rely on its own counsel and accountants for legal and accounting advice.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6" w:name="page97"/>
    <w:bookmarkEnd w:id="96"/>
    <w:p>
      <w:pPr>
        <w:jc w:val="both"/>
        <w:ind w:firstLine="8"/>
        <w:spacing w:after="0" w:line="253" w:lineRule="auto"/>
        <w:tabs>
          <w:tab w:leader="none" w:pos="21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Research Matters</w:t>
      </w:r>
      <w:r>
        <w:rPr>
          <w:rFonts w:ascii="Times New Roman" w:cs="Times New Roman" w:eastAsia="Times New Roman" w:hAnsi="Times New Roman"/>
          <w:sz w:val="18"/>
          <w:szCs w:val="18"/>
          <w:color w:val="auto"/>
        </w:rPr>
        <w:t>. By entering into this Agreement, the Placement Agent does not provide any promise, either explicitly or implicitly, of favorable or continued research coverage of the Company, and the Company hereby acknowledges and agrees that the Placement Agent’s selection as a placement agent for the Offering was in no way conditioned, explicitly or implicitly, on the Placement Agent providing favorable or any research coverage of the Company. In accordance with FINRA Rule 2711(e), the parties hereto acknowledge and agree that the Placement Agent has not directly or indirectly offered favorable research, a specific rating or a specific price target, or threatened to change research, a rating or a price target, to the Company or inducement for the receipt of business or compensation. The Company hereby waives and releases, to the fullest extent permitted by law, any claims that the Company may have against the Placement Agent with respect to any conflict of interest that may arise from the fact that the views expressed by their independent research analysts and research departments may be different from or inconsistent with the views or advice communicated to the Company by the Placement Agent’s investment banking divisions. The Company acknowledges that the Placement Agent is a full service securities firm and as such from time to time, subject to applicable securities laws, may effect transactions for its own account or the account of its customers and hold long or short position in debt or equity securities of the Company.</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auto"/>
        </w:rPr>
        <w:t>Section 6. Payment of Expenses</w:t>
      </w:r>
      <w:r>
        <w:rPr>
          <w:rFonts w:ascii="Times New Roman" w:cs="Times New Roman" w:eastAsia="Times New Roman" w:hAnsi="Times New Roman"/>
          <w:sz w:val="18"/>
          <w:szCs w:val="18"/>
          <w:color w:val="auto"/>
        </w:rPr>
        <w:t>. Subject to the following, the Company shall reimburse the Placement Agent promptly upon request for all reasonable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accountable out-of-pocket expenses incurred in connection with the Offering, whether or not there is a closing of the Offering, including but not limited to road show and travel expenses (including, if applicable, the costs associated with the use of a third-party electronic road show service (such as Net Roadshow)), due diligence expenses, the costs of background checks on the Company’s officers and directors and any of its shareholders designated by the Placement Agent, the costs associated with the Placement Agent’s use of book-building and compliance software, the fees and expenses of the Placement Agent’s legal counsel and any other independent advisors selected and retained by the Placement Agent, and all fees, expenses and disbursements required under the blue sky securities laws of such states and other jurisdictions as the Placement Agent may reasonably designate (with the Company’s consent, which shall not be unreasonably withheld), provided that the expenses reimbursable to the Placement Agent under this Section 6 shall not exceed $100,000, which will be paid from the proceeds of this Offering at Closing. In addition, upon execution of this Agreement, the Company shall pay the Placement Agent a non-refundable work fee of $20,000 for deal related expenses including legal retainers (the “</w:t>
      </w:r>
      <w:r>
        <w:rPr>
          <w:rFonts w:ascii="Times New Roman" w:cs="Times New Roman" w:eastAsia="Times New Roman" w:hAnsi="Times New Roman"/>
          <w:sz w:val="18"/>
          <w:szCs w:val="18"/>
          <w:b w:val="1"/>
          <w:bCs w:val="1"/>
          <w:u w:val="single" w:color="auto"/>
          <w:color w:val="auto"/>
        </w:rPr>
        <w:t>Work Fee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will bear all fees, disbursements and expenses incurred by the Company in connection with any proposed Offering, including, without limitation, the Company’s legal and accounting fees and disbursements; the costs of preparing, printing and delivering the Disclosure Materials, the Transaction Documents, the resale Registration Statement to be filed pursuant to the Registration Rights Agreement (and any amendments or supplements thereto), and any other offering materials and related documents (all in such quantities as the Placement Agent may reasonably require);; preparing and printing stock certificates; the costs of any “due diligence” meetings; SEC filing fees, costs and expenses incurred in connection with the resale Registration Statement, Trading Market listing fees, Blue Sky fees, and FINRA filing fees.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7. Indemnification and Contribution</w:t>
      </w:r>
    </w:p>
    <w:p>
      <w:pPr>
        <w:spacing w:after="0" w:line="229" w:lineRule="exact"/>
        <w:rPr>
          <w:sz w:val="20"/>
          <w:szCs w:val="20"/>
          <w:color w:val="auto"/>
        </w:rPr>
      </w:pPr>
    </w:p>
    <w:p>
      <w:pPr>
        <w:jc w:val="both"/>
        <w:ind w:firstLine="8"/>
        <w:spacing w:after="0" w:line="252" w:lineRule="auto"/>
        <w:tabs>
          <w:tab w:leader="none" w:pos="251"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indemnify and hold harmless the Placement Agent, its affiliates, and each person controlling the Placement Agent (within the meaning of Section 15 of the Securities Act), and the directors, officers, agents, and employees of the Placement Agent, its affiliates and each such controlling person (the Placement Agent, and each such entity or person, an “Indemnified Person”) from and against any losses, claims, damages, judgments, assessments, costs, and other liabilities including reasonable attorneys’ fees (collectively, the “Liabilities”), and shall reimburse each Indemnified Person for all fees and expenses (including the reasonable fees and expenses of one counsel for all Indemnified Persons, except as otherwise expressly provided herein) (collectively, the “Expenses”) as they are incurred by an Indemnified Person in investigating, preparing, pursuing, or defending any actions, whether or not any Indemnified Person is a party thereto, (i) caused by a breach by the Company of any of its representations, warranties, or covenants contained in this Agreement or in any certificate delivered by or on behalf of the Company in connection with this Agreement, (ii) caused by, or arising out of or in connection with, any untrue statement or alleged untrue statement of a material fact contained in the SEC Reports, the Disclosure Materials or the resale Registration Statement to be filed pursuant to the Registration Rights Agreement (and any amendments or supplements to any of the foregoing), or by any omission or alleged omission to state therein a material fact necessary to make the statements therein, in light of the circumstances under which they were made, not misleading (other than untrue statements or alleged untrue statements in, or omissions or alleged omissions from, information relating to an Indemnified Person furnished in writing by or on behalf of such Indemnified Person expressly for use in such documents), or (iii) otherwise arising out of or in connection with advice or services rendered or to be rendered by any Indemnified Person pursuant to this Agreement, the transactions contemplated thereby or any Indemnified Person’s actions or inactions in connection with any such advice, services, or transactions; provided, however, that, in the case of clause (iii) only, the Company shall not be responsible for any Liabilities or Expenses of any Indemnified Person that are finally judicially determined to have resulted solely from such Indemnified Person’s (x) gross negligence or willful misconduct in connection with any of the advice, actions, inactions, or services referred to above or (y) use of any Offering materials or information concerning the Company in connection with the offer or sale of the Securities in the Offering which were not authorized for such use by the Company and which use constitutes gross negligence, bad faith, or willful misconduct. The Company also agrees to reimburse each Indemnified Person for all Expenses as they are incurred in connection with enforcing such Indemnified Person’s rights under this Agreement.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7" w:name="page98"/>
    <w:bookmarkEnd w:id="97"/>
    <w:p>
      <w:pPr>
        <w:jc w:val="both"/>
        <w:ind w:firstLine="8"/>
        <w:spacing w:after="0" w:line="252" w:lineRule="auto"/>
        <w:tabs>
          <w:tab w:leader="none" w:pos="26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receipt by an Indemnified Person of actual notice of an action against such Indemnified Person with respect to which indemnity may be sought under this Agreement, such Indemnified Person shall promptly notify the Company in writing;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failure by any Indemnified Person so to notify the Company shall not relieve the Company from any liability which the Company may have on account of this indemnity or otherwise to such Indemnified Person, except to the extent the Company shall have been prejudiced by such failure. The Company shall, if requested by the Placement Agent, assume the defense of any such action including the employment of counsel reasonably satisfactory to the Placement Agent, which counsel may also be Company Counsel. Any Indemnified Person shall have the right to employ separate counsel in any such action and participate in the defense thereof, but the fees and expenses of such counsel shall be at the expense of such Indemnified Person unless: (i) the Company has failed promptly to assume the defense and employ counsel or (ii) the named parties to any such action (including any impeded parties) include such Indemnified Person and the Company, and such Indemnified Person shall have been advised in the reasonable opinion of counsel that there is an actual conflict of interest that prevents the counsel selected by the Company from representing both the Company (or another client of such counsel) and any Indemnified Person;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Company shall not in such event be responsible hereunder for the fees and expenses of more than one firm of separate counsel for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Indemnified Persons in connection with any action or related actions, in addition to any local counsel. The Company shall not be liable for any settlement of any action effected without its written consent (which shall not be unreasonably withheld). In addition, the Company shall not, without the prior written consent of the Placement Agent (which shall not be unreasonably withheld), settle, compromise, or consent to the entry of any judgment in or otherwise seek to terminate any pending or threatened action in respect of which indemnification or contribution may be sought hereunder (whether or not such Indemnified Person is a party thereto) unless such settlement, compromise, consent, or termination includes an unconditional release of each Indemnified Person from all Liabilities arising out of such action for which indemnification or contribution may be sought hereunder. The indemnification required hereby shall be made by periodic payments of the amount thereof during the course of the investigation or defense, as such expense, loss, damage, or liability is incurred and is due and payable.</w:t>
      </w:r>
    </w:p>
    <w:p>
      <w:pPr>
        <w:spacing w:after="0" w:line="200" w:lineRule="exact"/>
        <w:rPr>
          <w:rFonts w:ascii="Times New Roman" w:cs="Times New Roman" w:eastAsia="Times New Roman" w:hAnsi="Times New Roman"/>
          <w:sz w:val="18"/>
          <w:szCs w:val="18"/>
          <w:color w:val="auto"/>
        </w:rPr>
      </w:pPr>
    </w:p>
    <w:p>
      <w:pPr>
        <w:spacing w:after="0" w:line="207" w:lineRule="exact"/>
        <w:rPr>
          <w:rFonts w:ascii="Times New Roman" w:cs="Times New Roman" w:eastAsia="Times New Roman" w:hAnsi="Times New Roman"/>
          <w:sz w:val="18"/>
          <w:szCs w:val="18"/>
          <w:color w:val="auto"/>
        </w:rPr>
      </w:pPr>
    </w:p>
    <w:p>
      <w:pPr>
        <w:jc w:val="both"/>
        <w:ind w:firstLine="8"/>
        <w:spacing w:after="0" w:line="253" w:lineRule="auto"/>
        <w:tabs>
          <w:tab w:leader="none" w:pos="261"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foregoing indemnity is unavailable to an Indemnified Person other than in accordance with this Agreement, the Company shall contribute to the Liabilities and Expenses paid or payable by such Indemnified Person in such proportion as is appropriate to reflect (i) the relative benefits to the Company, on the one hand, and to the Placement Agent and any other Indemnified Person, on the other hand, of the matters contemplated by this Agreement or (ii) if the allocation provided by the immediately preceding clause is not permitted by applicable law, not only such relative benefits but also the relative fault of the Company, on the one hand, and the Placement Agent and any other Indemnified Person, on the other hand, in connection with the matters as to which such Liabilities or Expenses relate, as well as any other relevant equitable considerations;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Company contribute less than the amount necessary to ensure that all Indemnified Persons, in the aggregate, are not liable for any Liabilities and Expenses in excess of the amount of fees actually received by the Placement Agent pursuant to this Agreement. For purposes of this paragraph, the relative benefits to the Company, on the one hand, and to the Placement Agent on the other hand, of the matters contemplated by this Agreement shall be deemed to be in the same proportion as (i) the total value paid or contemplated to be paid to or received or contemplated to be received by the Company in the transaction or transactions that are within the scope of this Agreement, whether or not any such transaction is consummated, bears to (ii) the fees paid to the Placement Agent under this Agreement. Notwithstanding the above, no person guilty of fraudulent misrepresentation within the meaning of Section 11(f) of the Securities Act, shall be entitled to contribution from a party who was not guilty of fraudulent misrepresentation.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8" w:name="page99"/>
    <w:bookmarkEnd w:id="98"/>
    <w:p>
      <w:pPr>
        <w:jc w:val="both"/>
        <w:ind w:firstLine="8"/>
        <w:spacing w:after="0" w:line="258" w:lineRule="auto"/>
        <w:tabs>
          <w:tab w:leader="none" w:pos="281"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also agrees that no Indemnified Person shall have any liability (whether direct or indirect, in contract or tort or otherwise) to the Company for or in connection with advice or services rendered or to be rendered by any Indemnified Person pursuant to this Agreement, the transactions contemplated thereby or any Indemnified Person’s actions or inactions in connection with any such advice, services, or transactions except for Liabilities (and related Expenses) of the Company that are finally judicially determined to have resulted solely from such Indemnified Person’s gross negligence or willful misconduct in connection with any such advice, actions, inactions, or services.</w:t>
      </w:r>
    </w:p>
    <w:p>
      <w:pPr>
        <w:spacing w:after="0" w:line="183" w:lineRule="exact"/>
        <w:rPr>
          <w:rFonts w:ascii="Times New Roman" w:cs="Times New Roman" w:eastAsia="Times New Roman" w:hAnsi="Times New Roman"/>
          <w:sz w:val="18"/>
          <w:szCs w:val="18"/>
          <w:color w:val="auto"/>
        </w:rPr>
      </w:pPr>
    </w:p>
    <w:p>
      <w:pPr>
        <w:jc w:val="both"/>
        <w:ind w:firstLine="8"/>
        <w:spacing w:after="0" w:line="266" w:lineRule="auto"/>
        <w:tabs>
          <w:tab w:leader="none" w:pos="241"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reimbursement, indemnity, and contribution obligations of the Company set forth herein shall apply to any modification of this Agreement and shall remain in full force and effect regardless of any termination of, or the completion of any Indemnified Person’s services under or in connection with, this Agreement.</w:t>
      </w:r>
    </w:p>
    <w:p>
      <w:pPr>
        <w:spacing w:after="0" w:line="175" w:lineRule="exact"/>
        <w:rPr>
          <w:rFonts w:ascii="Times New Roman" w:cs="Times New Roman" w:eastAsia="Times New Roman" w:hAnsi="Times New Roman"/>
          <w:sz w:val="18"/>
          <w:szCs w:val="18"/>
          <w:color w:val="auto"/>
        </w:rPr>
      </w:pPr>
    </w:p>
    <w:p>
      <w:pPr>
        <w:jc w:val="both"/>
        <w:ind w:firstLine="8"/>
        <w:spacing w:after="0" w:line="258" w:lineRule="auto"/>
        <w:tabs>
          <w:tab w:leader="none" w:pos="23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Placement Agent and the Company agree that the obligations of each of the Parties are solely corporate obligations, and that no officer, director, employee, agent, or shareholder of either Party shall be subjected to any personal liability whatsoever to any person, nor will any claim for liability or suit be asserted by, or on behalf of, either the Placement Agent or the Company. In no event shall the Placement Agent be liable to the Company, nor will the Company be liable to the Placement Agent, whether a claim be in tort, contract or otherwise, for any amount in excess of the total amount paid by the Company to the Placement Agent under this Agreement.</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Section 8. Representations and Indemnities to Survive Delivery</w:t>
      </w:r>
      <w:r>
        <w:rPr>
          <w:rFonts w:ascii="Times New Roman" w:cs="Times New Roman" w:eastAsia="Times New Roman" w:hAnsi="Times New Roman"/>
          <w:sz w:val="18"/>
          <w:szCs w:val="18"/>
          <w:color w:val="auto"/>
        </w:rPr>
        <w:t>. The respective indemnities, agreements, representations, warranties,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statements of the Company or any person controlling the Company, of its officers, and of the Placement Agent set forth in or made pursuant to this Agreement will remain in full force and effect, regardless of any investigation made by or on behalf of the Placement Agent, the Company, or any of its or their partners, officers, or directors or any controlling person, as the case may be, and will survive delivery of and payment for the Securities sold hereunder and any termination of this Agreement. A successor to the Placement Agent, or to the Company, its directors or officers or any person controlling the Company, shall be entitled to the benefits of the indemnity, contribution, and reimbursement agreements contained in this Agreement.</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Section 9. Notices</w:t>
      </w:r>
      <w:r>
        <w:rPr>
          <w:rFonts w:ascii="Times New Roman" w:cs="Times New Roman" w:eastAsia="Times New Roman" w:hAnsi="Times New Roman"/>
          <w:sz w:val="18"/>
          <w:szCs w:val="18"/>
          <w:color w:val="auto"/>
        </w:rPr>
        <w:t>. All communications hereunder shall be in writing and shall be mailed, hand delivered, telecopied, or e-mailed and confirmed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hereto as follows: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to E.F. Hutton &amp; Co.:</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 Hutton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745 Fifth Avenue, 34th Floor &amp; PH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10151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Anthony Salazar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asalazar@efhutton.com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With a copy (which shall not constitute notice) to:</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Zarif Law Group P.C.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808 Springwood Avenue, Suite 110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Asbury Park, NJ 07712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Morris C. Zarif, Managing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mzarif@zariflg.com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to the Company: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HCW Biologics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2929 N. Commerce Parkway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Miramar, FL 33025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Hing Wong, Ph.D.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hingwong@hcwbiologics.com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i w:val="1"/>
          <w:iCs w:val="1"/>
          <w:color w:val="auto"/>
        </w:rPr>
        <w:t>With a copy (which shall not constitute notice) to:</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Clark Hill PLC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130 E. Randolph, Suite 3900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Jim Groth</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Jeny Zarmon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jgroth@clarkhill.com</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jzarmon@clarkhill.com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party hereto may change the address for receipt of communications by giving written notice to the others.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Section 10. Prior Agreement</w:t>
      </w:r>
      <w:r>
        <w:rPr>
          <w:rFonts w:ascii="Times New Roman" w:cs="Times New Roman" w:eastAsia="Times New Roman" w:hAnsi="Times New Roman"/>
          <w:sz w:val="18"/>
          <w:szCs w:val="18"/>
          <w:color w:val="auto"/>
        </w:rPr>
        <w:t>. By entering into this Agreement, the parties hereto agree that any prior letter of engagement between the parties relating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Offering, shall automatically terminate and cease to have any effect whatsoever and shall be superseded in its entirety by this Agreement.</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Section 11. Successors and Assignment</w:t>
      </w:r>
      <w:r>
        <w:rPr>
          <w:rFonts w:ascii="Times New Roman" w:cs="Times New Roman" w:eastAsia="Times New Roman" w:hAnsi="Times New Roman"/>
          <w:sz w:val="18"/>
          <w:szCs w:val="18"/>
          <w:color w:val="auto"/>
        </w:rPr>
        <w:t>. This Agreement will inure to the benefit of and be binding upon the parties hereto, and to the benefit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officers, and directors and controlling persons referred to in Section 8 hereof, and to their respective successors, and personal representative, and no other person will have any right or obligation hereunder.</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Section 12. Partial Unenforceability</w:t>
      </w:r>
      <w:r>
        <w:rPr>
          <w:rFonts w:ascii="Times New Roman" w:cs="Times New Roman" w:eastAsia="Times New Roman" w:hAnsi="Times New Roman"/>
          <w:sz w:val="18"/>
          <w:szCs w:val="18"/>
          <w:color w:val="auto"/>
        </w:rPr>
        <w:t>. The invalidity or unenforceability of any section, paragraph, or provision of this Agreement shall not affect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Section 13. Governing Law Provisions</w:t>
      </w:r>
      <w:r>
        <w:rPr>
          <w:rFonts w:ascii="Times New Roman" w:cs="Times New Roman" w:eastAsia="Times New Roman" w:hAnsi="Times New Roman"/>
          <w:sz w:val="18"/>
          <w:szCs w:val="18"/>
          <w:color w:val="auto"/>
        </w:rPr>
        <w:t>. This Agreement and the transactions contemplated hereby shall be governed as to validity, interpretation,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construction, effect, and in all other respects by the internal laws of the State of New York, without regard to the conflict of laws principles thereof. The Placement Agent and the Company agree that with respect to any controversy or claim relating to, arising under or involving this Agreement or breach thereof (a “</w:t>
      </w:r>
      <w:r>
        <w:rPr>
          <w:rFonts w:ascii="Times New Roman" w:cs="Times New Roman" w:eastAsia="Times New Roman" w:hAnsi="Times New Roman"/>
          <w:sz w:val="18"/>
          <w:szCs w:val="18"/>
          <w:b w:val="1"/>
          <w:bCs w:val="1"/>
          <w:u w:val="single" w:color="auto"/>
          <w:color w:val="auto"/>
        </w:rPr>
        <w:t>Claim</w:t>
      </w:r>
      <w:r>
        <w:rPr>
          <w:rFonts w:ascii="Times New Roman" w:cs="Times New Roman" w:eastAsia="Times New Roman" w:hAnsi="Times New Roman"/>
          <w:sz w:val="18"/>
          <w:szCs w:val="18"/>
          <w:color w:val="auto"/>
        </w:rPr>
        <w:t>”), the matter shall first be submitted for mediation through the Judicial Arbitration and Mediation Service, Inc. (“</w:t>
      </w:r>
      <w:r>
        <w:rPr>
          <w:rFonts w:ascii="Times New Roman" w:cs="Times New Roman" w:eastAsia="Times New Roman" w:hAnsi="Times New Roman"/>
          <w:sz w:val="18"/>
          <w:szCs w:val="18"/>
          <w:b w:val="1"/>
          <w:bCs w:val="1"/>
          <w:u w:val="single" w:color="auto"/>
          <w:color w:val="auto"/>
        </w:rPr>
        <w:t>JAMS</w:t>
      </w:r>
      <w:r>
        <w:rPr>
          <w:rFonts w:ascii="Times New Roman" w:cs="Times New Roman" w:eastAsia="Times New Roman" w:hAnsi="Times New Roman"/>
          <w:sz w:val="18"/>
          <w:szCs w:val="18"/>
          <w:color w:val="auto"/>
        </w:rPr>
        <w:t>”) and its applicable rules in New York, New York, provided, however, that in the case of a breach or threatened breach of the non-circumvention covenant stated herein, the Placement Agent may seek and obtain, in addition to any remedies available under this Agreement or applicable law, an injunction or other equitable relief from any court of competent jurisdiction and nothing in this Agreement shall in any way limit or condition its right and recourse to seek and obtain such equitable relief.</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that the Placement Agent and the Company are not able to agree on a mediator within thirty (30) days of the first party seeking mediation, the presiding Judge of the Superior Court of the county which the venue would lie for the filing of a complaint for relief in such Claim shall have jurisdiction to appoint a mediator. The parties covenant that they will participate in the mediation in good faith.</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that the Placement Agent and the Company are unable to resolve any claim after mediation as set forth in the preceding paragraph, then the parties hereby agree that such Claim shall be submitted to JAMS for final and binding arbitration pursuant to its Comprehensive Arbitration Rules and Procedures (the “</w:t>
      </w:r>
      <w:r>
        <w:rPr>
          <w:rFonts w:ascii="Times New Roman" w:cs="Times New Roman" w:eastAsia="Times New Roman" w:hAnsi="Times New Roman"/>
          <w:sz w:val="18"/>
          <w:szCs w:val="18"/>
          <w:b w:val="1"/>
          <w:bCs w:val="1"/>
          <w:u w:val="single" w:color="auto"/>
          <w:color w:val="auto"/>
        </w:rPr>
        <w:t>Arbitration Rules</w:t>
      </w:r>
      <w:r>
        <w:rPr>
          <w:rFonts w:ascii="Times New Roman" w:cs="Times New Roman" w:eastAsia="Times New Roman" w:hAnsi="Times New Roman"/>
          <w:sz w:val="18"/>
          <w:szCs w:val="18"/>
          <w:color w:val="auto"/>
        </w:rPr>
        <w:t>”) in New York, New York. The arbitration shall be conducted before a neutral arbitrator who shall be an attorney or retired Judge and shall be selected in accordance with the Arbitration Rules. The arbitrator’s award shall be final and binding on all parties. Except to the extent otherwise required pursuant to the applicable JAMS rules and procedures and applicable law, each party will pay the fees of its respective attorney(s), expert(s), and other fees.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Without limiting the mediation and arbitration provisions set forth above, each party hereby irrevocably agrees and consents to be subject to the jurisdiction of the state court sitting in New York County, State of New York, or if the state court lacks jurisdiction, the United States District Court for the Southern District of New York, in any suit, action or proceeding pursuant to this Agreement. Each party hereby irrevocably consents to the service of any and all process in any such suit, action or proceeding by the delivery of such process in person, by overnight courier, facsimile or first class mail with a copy to email to such party as set forth in Section 9 hereof.</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00" w:name="page101"/>
    <w:bookmarkEnd w:id="100"/>
    <w:p>
      <w:pPr>
        <w:jc w:val="both"/>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auto"/>
        </w:rPr>
        <w:t>Section 14. Tail</w:t>
      </w:r>
      <w:r>
        <w:rPr>
          <w:rFonts w:ascii="Times New Roman" w:cs="Times New Roman" w:eastAsia="Times New Roman" w:hAnsi="Times New Roman"/>
          <w:sz w:val="18"/>
          <w:szCs w:val="18"/>
          <w:color w:val="auto"/>
        </w:rPr>
        <w:t>. If there is a Closing of the Offering, or if this Agreement terminates prior to Closing (other than a termination for cause in compliance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FINRA Rule 5110(g)(5)(B)(i)), the Placement Agent shall be entitled to compensation under Section 1 hereof, calculated in the manner set forth therein, with respect to any public offering or other equity financing of any kind (“</w:t>
      </w:r>
      <w:r>
        <w:rPr>
          <w:rFonts w:ascii="Times New Roman" w:cs="Times New Roman" w:eastAsia="Times New Roman" w:hAnsi="Times New Roman"/>
          <w:sz w:val="18"/>
          <w:szCs w:val="18"/>
          <w:b w:val="1"/>
          <w:bCs w:val="1"/>
          <w:u w:val="single" w:color="auto"/>
          <w:color w:val="auto"/>
        </w:rPr>
        <w:t>Financing</w:t>
      </w:r>
      <w:r>
        <w:rPr>
          <w:rFonts w:ascii="Times New Roman" w:cs="Times New Roman" w:eastAsia="Times New Roman" w:hAnsi="Times New Roman"/>
          <w:sz w:val="18"/>
          <w:szCs w:val="18"/>
          <w:color w:val="auto"/>
        </w:rPr>
        <w:t>”) if, prior to any time within the twelve (12) month period following the expiration or termination of this Agreement (the “</w:t>
      </w:r>
      <w:r>
        <w:rPr>
          <w:rFonts w:ascii="Times New Roman" w:cs="Times New Roman" w:eastAsia="Times New Roman" w:hAnsi="Times New Roman"/>
          <w:sz w:val="18"/>
          <w:szCs w:val="18"/>
          <w:b w:val="1"/>
          <w:bCs w:val="1"/>
          <w:u w:val="single" w:color="auto"/>
          <w:color w:val="auto"/>
        </w:rPr>
        <w:t>Tail Period</w:t>
      </w:r>
      <w:r>
        <w:rPr>
          <w:rFonts w:ascii="Times New Roman" w:cs="Times New Roman" w:eastAsia="Times New Roman" w:hAnsi="Times New Roman"/>
          <w:sz w:val="18"/>
          <w:szCs w:val="18"/>
          <w:color w:val="auto"/>
        </w:rPr>
        <w:t>”), either (i) a Financing is consummated with an investor actually introduced by Placement Agent to the management of the Company during the Term and that is listed in Exhibit A, provided that such person or entity was included in Exhibit A delivered to the Company within five (5) business days following the termination of this Agreement, and provided that the Placement Agent was the proximate cause of such Financing. For the avoidance of doubt, the Company shall have no restriction on its ability to pursue any other financing, whether or not similar to the Offering, including with any other placement agent, investor or source of capital, and no compensation shall be payable with respect to any Financing involving persons or entities not listed on Exhibit 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15. General Provisions</w:t>
      </w:r>
    </w:p>
    <w:p>
      <w:pPr>
        <w:spacing w:after="0" w:line="229" w:lineRule="exact"/>
        <w:rPr>
          <w:sz w:val="20"/>
          <w:szCs w:val="20"/>
          <w:color w:val="auto"/>
        </w:rPr>
      </w:pPr>
    </w:p>
    <w:p>
      <w:pPr>
        <w:jc w:val="both"/>
        <w:ind w:firstLine="8"/>
        <w:spacing w:after="0" w:line="256" w:lineRule="auto"/>
        <w:tabs>
          <w:tab w:leader="none" w:pos="24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This Agreement may not be amended or modified unless in writing by all of the parties hereto, and no condition herein (express or implied) may be waived unless waived in writing by each party whom the condition is meant to benefit. Section headings herein are for the convenience of the parties only and shall not affect the construction or interpretation of this Agreement.</w:t>
      </w:r>
    </w:p>
    <w:p>
      <w:pPr>
        <w:spacing w:after="0" w:line="187" w:lineRule="exact"/>
        <w:rPr>
          <w:rFonts w:ascii="Times New Roman" w:cs="Times New Roman" w:eastAsia="Times New Roman" w:hAnsi="Times New Roman"/>
          <w:sz w:val="18"/>
          <w:szCs w:val="18"/>
          <w:color w:val="auto"/>
        </w:rPr>
      </w:pPr>
    </w:p>
    <w:p>
      <w:pPr>
        <w:jc w:val="both"/>
        <w:ind w:firstLine="8"/>
        <w:spacing w:after="0" w:line="258" w:lineRule="auto"/>
        <w:tabs>
          <w:tab w:leader="none" w:pos="25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that in connection with the offering of the Securities: (i) the Placement Agent has acted at arm’s length, are not agents of, and owe no fiduciary duties to the Company or any other person, (ii) the Placement Agent owes the Company only those duties and obligations set forth in this Agreement, and (iii) the Placement Agent may have interests that differ from those of the Company. The Company waives to the full extent permitted by applicable law any claims it may have against the Placement Agent arising from an alleged breach of fiduciary duty in connection with the offering of the Securities.</w:t>
      </w:r>
    </w:p>
    <w:p>
      <w:pPr>
        <w:spacing w:after="0" w:line="183"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responsible for any and all compliance with the securities laws applicable to it.</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7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agrees not to mention the name of the other Party or its agents in any press release or news announcement without the express written consent of the other party.</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47"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two or more counterparts, each of which shall be deemed an original but all of which together shall constitute one and the same instrument. Delivery of an executed counterpart of this Agreement by facsimile, email (including .pdf) or other electronic transmission shall be equally as effective as delivery of a manually executed counterpart.</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Section 16. Confidentiality</w:t>
      </w:r>
      <w:r>
        <w:rPr>
          <w:rFonts w:ascii="Times New Roman" w:cs="Times New Roman" w:eastAsia="Times New Roman" w:hAnsi="Times New Roman"/>
          <w:sz w:val="18"/>
          <w:szCs w:val="18"/>
          <w:color w:val="auto"/>
        </w:rPr>
        <w:t>. In the event of the consummation or public announcement of the Offering, the Placement Agent shall have the right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disclose its participation in such offering, including, without limitation, the Offering at its own cost of “tombstone” advertisements in financial and other newspapers and journals.</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auto"/>
        </w:rPr>
        <w:t>Section 17. Limitations on Engagement</w:t>
      </w:r>
      <w:r>
        <w:rPr>
          <w:rFonts w:ascii="Times New Roman" w:cs="Times New Roman" w:eastAsia="Times New Roman" w:hAnsi="Times New Roman"/>
          <w:sz w:val="18"/>
          <w:szCs w:val="18"/>
          <w:color w:val="auto"/>
        </w:rPr>
        <w:t>. The Company acknowledges that the Placement Agent has been retained only by the Company,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Placement Agent is providing services hereunder as an independent contractor (and not in any fiduciary or agency capacity) and that the Company’s engagement of the Placement Agent is not deemed to be on behalf of, and is not intended to confer rights upon, any shareholder, owner or partner of the Company or any other person not a party hereto as against the Placement Agent or any of its affiliates, or any of its or their respective officers, directors, controlling persons (within the meaning of Section 15 of the Securities Act or Section 20 of the Exchange Act), employees or agents. Unless otherwise expressly agreed in writing by the Placement Agent, no one other than the Company is authorized to rely upon this Agreement or any other statements or conduct of the Placement Agent, and no one other than the Company is intended to be a beneficiary of this Agreement. The Company acknowledges that any recommendation or advice, written or oral, given by the Placement Agent to the Company in connection with the Placement Agent’s engagement is intended solely for the benefit and use of the Company’s management and directors in considering a possible Offering and any such recommendation or advice is not on behalf of, and shall not confer any rights or remedies upon, any other persons or be used or relied upon for any other purpose.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remainder of this page has been intentionally left blank.]</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TO THE PLACEMENT AGENCY AGREEMENT]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please sign below whereupon this instrument, along with all counterparts hereof, shall become a binding agreement in accordance with its terms.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 Hutton &amp; Co.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Duncan B. Swanston</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Supervisory Principal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Placement Agency Agreement is hereby confirmed and accepted as of the date first above written.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HCW Biologics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Hing C. Wong, Ph.D.</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LIST OF INTRODUCED PARTIES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[To be provided by the Placement Agent]</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103" w:name="page104"/>
    <w:bookmarkEnd w:id="103"/>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SCHEDULE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Additional Lock-Up Parties</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894205" cy="9086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89420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HCW Biologics Inc. Announces Pricing of Approximately $4.0 Million Private Placement Offering At-the-Market Under Nasdaq Rules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MIRAMAR, Fla., May 21, 2026 (GLOBE NEWSWIRE) — HCW Biologics Inc. (the “Company” or “HCW Biologics”), (NASDAQ: HCWB), a clinical-stage biopharmaceutical company developing transformative fusion immunotherapeutics to treat autoimmune, cancer and senescence-associated dysplasia, today announced the pricing of its private placement of an aggregate of 2,846,975 units at a purchase price of $1.405 per unit priced at-the-market under Nasdaq rules to a group of healthcare investors (the “Investors”). Each unit consists of (i) one share of common stock at a purchase price of $1.28 per share (or, in lieu thereof, one pre-funded warrant at a purchase price of $1.2799 per pre-funded warrant with an exercise price of $0.0001 per share) and (ii) one warrant at a purchase price of $0.125 per warrant, each to purchase one share of common stock. The warrants will have an exercise price of $1.28 per share, will be exercisable immediately upon issuance, and will expire on the five and one-half year anniversary of the original issuance date. The shares of common stock (or pre-funded warrants) and the warrants comprising the units are immediately separable and will be issued separately in this offering. The closing of the offering is expected to occur on or about May 21, 2026, subject to the satisfaction of customary closing conditions.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 Hutton &amp; Co. LLC is acting as the sole placement agent for the offering.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intends to use the net proceeds from this offering to continue clinical trials for HCW9302, advance its IND-enabling studies for its T-Cell Engager, HCW11-018b, and its second-generation immune checkpoint inhibitor, HCW11-040, and funding for general corporate purposes and to pay off certain debts and settlements.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21, 2026, the Company also entered into a registration rights agreement with the Investors, pursuant to which the Company agreed to submit to the U.S. Securities and Exchange Commission (the “SEC”) an initial registration statement on Form S-1 within 60 days of the closing date covering the resale of the purchased shares and underlying shares for warrants, which may be issued from time to time upon the exercise of such warrants, and to use commercially reasonable efforts to cause the registration statement to be declared effective by the SEC within [60] days following the closing of the Offering.</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number of shares the Company can issue to an Investor, including those shares issued upon the exercise of pre-funded warrants from time to time, may not exceed 4.99% of the number of shares of our Common Stock outstanding immediately after giving effect to such issuances.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a solicitation of an offer to buy any of the securities described herein, nor shall there be any sale of these securities in any state or other jurisdiction in which such offer, solicitation or sale would be unlawful prior to the registration or qualification under the securities laws of any such state or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About HCW Biologics: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HCW Biologics Inc. (the “Company”) (NASDAQ: HCWB) is a clinical-stage biopharmaceutical company developing transformative fusion immunotherapeutics to support or treat diseases promoted by chronic inflammation, including autoimmune diseases, cancer, and senescence-associated dysplasia. The Company’s immunotherapeutics represent a new class of drugs that it believes have the potential to fundamentally change the treatment of proinflammatory and senescence-associated diseases and conditions that are promoted by chronic inflammation —and in doing so, improve patients’ quality of life and possibly extend longevity. A key aspect of the Company’s clinical development and financing strategy is to focus on its business development programs. To date, the Company has entered into two licensing agreements in which it has licensed exclusive, worldwide rights for some of its proprietary molecules. See the Company Pipeline at https://hcwbiologics.com/pipeline/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Statements in this press release contain “forward-looking statements” that are subject to substantial risks and uncertainties. These statements are made under the “safe harbor” provisions of the U.S. Private Securities Litigation Reform Act of 1995. Forward-looking statements contained in this press release may be identified by the use of words such as “anticipate,” “expect,” “believe,” “will,” “may,” “should,” “estimate,” “project,” “outlook,” “forecast” or other similar words and include, the actual success and potency of the Company’s immunotherapeutic treatments to disrupt the link between chronic inflammation and diseases; and the Company’s intended use of proceeds of this offering. Further, certain forward-looking statements are based on assumptions as to future events that may not prove to be accurate. Factors that could cause actual results to differ include, but are not limited to, the risks and uncertainties that are described in the section titled “Risk Factors” in the annual report on Form 10-K filed with the United States Securities and Exchange Commission (the “SEC”) on March 31, 2026, and in other filings filed from time to time with the SEC.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Rebecca Byam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rebeccabyam@hcwbiologics.com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20EEDD1"/>
    <w:multiLevelType w:val="hybridMultilevel"/>
    <w:lvl w:ilvl="0">
      <w:lvlJc w:val="left"/>
      <w:lvlText w:val="☐"/>
      <w:numFmt w:val="bullet"/>
      <w:start w:val="1"/>
    </w:lvl>
  </w:abstractNum>
  <w:abstractNum w:abstractNumId="1">
    <w:nsid w:val="374A3FE6"/>
    <w:multiLevelType w:val="hybridMultilevel"/>
    <w:lvl w:ilvl="0">
      <w:lvlJc w:val="left"/>
      <w:lvlText w:val="(%1)"/>
      <w:numFmt w:val="lowerRoman"/>
      <w:start w:val="1"/>
    </w:lvl>
  </w:abstractNum>
  <w:abstractNum w:abstractNumId="2">
    <w:nsid w:val="4F4EF005"/>
    <w:multiLevelType w:val="hybridMultilevel"/>
    <w:lvl w:ilvl="0">
      <w:lvlJc w:val="left"/>
      <w:lvlText w:val="%1)"/>
      <w:numFmt w:val="lowerLetter"/>
      <w:start w:val="1"/>
    </w:lvl>
  </w:abstractNum>
  <w:abstractNum w:abstractNumId="3">
    <w:nsid w:val="23F9C13C"/>
    <w:multiLevelType w:val="hybridMultilevel"/>
    <w:lvl w:ilvl="0">
      <w:lvlJc w:val="left"/>
      <w:lvlText w:val="%1"/>
      <w:numFmt w:val="lowerLetter"/>
      <w:start w:val="1"/>
    </w:lvl>
    <w:lvl w:ilvl="1">
      <w:lvlJc w:val="left"/>
      <w:lvlText w:val="%2)"/>
      <w:numFmt w:val="lowerLetter"/>
      <w:start w:val="2"/>
    </w:lvl>
  </w:abstractNum>
  <w:abstractNum w:abstractNumId="4">
    <w:nsid w:val="649BB77C"/>
    <w:multiLevelType w:val="hybridMultilevel"/>
    <w:lvl w:ilvl="0">
      <w:lvlJc w:val="left"/>
      <w:lvlText w:val="%1)"/>
      <w:numFmt w:val="lowerLetter"/>
      <w:start w:val="3"/>
    </w:lvl>
    <w:lvl w:ilvl="1">
      <w:lvlJc w:val="left"/>
      <w:lvlText w:val="%2"/>
      <w:numFmt w:val="lowerLetter"/>
      <w:start w:val="1"/>
    </w:lvl>
  </w:abstractNum>
  <w:abstractNum w:abstractNumId="5">
    <w:nsid w:val="275AC794"/>
    <w:multiLevelType w:val="hybridMultilevel"/>
    <w:lvl w:ilvl="0">
      <w:lvlJc w:val="left"/>
      <w:lvlText w:val="(%1)"/>
      <w:numFmt w:val="upperLetter"/>
      <w:start w:val="1"/>
    </w:lvl>
  </w:abstractNum>
  <w:abstractNum w:abstractNumId="6">
    <w:nsid w:val="39386575"/>
    <w:multiLevelType w:val="hybridMultilevel"/>
    <w:lvl w:ilvl="0">
      <w:lvlJc w:val="left"/>
      <w:lvlText w:val="(%1)"/>
      <w:numFmt w:val="upperLetter"/>
      <w:start w:val="24"/>
    </w:lvl>
  </w:abstractNum>
  <w:abstractNum w:abstractNumId="7">
    <w:nsid w:val="1CF10FD8"/>
    <w:multiLevelType w:val="hybridMultilevel"/>
    <w:lvl w:ilvl="0">
      <w:lvlJc w:val="left"/>
      <w:lvlText w:val="(%1)"/>
      <w:numFmt w:val="lowerLetter"/>
      <w:start w:val="3"/>
    </w:lvl>
  </w:abstractNum>
  <w:abstractNum w:abstractNumId="8">
    <w:nsid w:val="180115BE"/>
    <w:multiLevelType w:val="hybridMultilevel"/>
    <w:lvl w:ilvl="0">
      <w:lvlJc w:val="left"/>
      <w:lvlText w:val="%1)"/>
      <w:numFmt w:val="lowerLetter"/>
      <w:start w:val="4"/>
    </w:lvl>
    <w:lvl w:ilvl="1">
      <w:lvlJc w:val="left"/>
      <w:lvlText w:val="%2."/>
      <w:numFmt w:val="lowerRoman"/>
      <w:start w:val="1"/>
    </w:lvl>
  </w:abstractNum>
  <w:abstractNum w:abstractNumId="9">
    <w:nsid w:val="235BA861"/>
    <w:multiLevelType w:val="hybridMultilevel"/>
    <w:lvl w:ilvl="0">
      <w:lvlJc w:val="left"/>
      <w:lvlText w:val="%1"/>
      <w:numFmt w:val="lowerRoman"/>
      <w:start w:val="1"/>
    </w:lvl>
    <w:lvl w:ilvl="1">
      <w:lvlJc w:val="left"/>
      <w:lvlText w:val="%2."/>
      <w:numFmt w:val="lowerRoman"/>
      <w:start w:val="4"/>
    </w:lvl>
  </w:abstractNum>
  <w:abstractNum w:abstractNumId="10">
    <w:nsid w:val="47398C89"/>
    <w:multiLevelType w:val="hybridMultilevel"/>
    <w:lvl w:ilvl="0">
      <w:lvlJc w:val="left"/>
      <w:lvlText w:val="%1."/>
      <w:numFmt w:val="lowerRoman"/>
      <w:start w:val="5"/>
    </w:lvl>
    <w:lvl w:ilvl="1">
      <w:lvlJc w:val="left"/>
      <w:lvlText w:val="%2"/>
      <w:numFmt w:val="lowerRoman"/>
      <w:start w:val="1"/>
    </w:lvl>
  </w:abstractNum>
  <w:abstractNum w:abstractNumId="11">
    <w:nsid w:val="354FE9F9"/>
    <w:multiLevelType w:val="hybridMultilevel"/>
    <w:lvl w:ilvl="0">
      <w:lvlJc w:val="left"/>
      <w:lvlText w:val="%1)"/>
      <w:numFmt w:val="lowerLetter"/>
      <w:start w:val="5"/>
    </w:lvl>
  </w:abstractNum>
  <w:abstractNum w:abstractNumId="12">
    <w:nsid w:val="15B5AF5C"/>
    <w:multiLevelType w:val="hybridMultilevel"/>
    <w:lvl w:ilvl="0">
      <w:lvlJc w:val="left"/>
      <w:lvlText w:val="%1)"/>
      <w:numFmt w:val="lowerLetter"/>
      <w:start w:val="1"/>
    </w:lvl>
  </w:abstractNum>
  <w:abstractNum w:abstractNumId="13">
    <w:nsid w:val="741226BB"/>
    <w:multiLevelType w:val="hybridMultilevel"/>
    <w:lvl w:ilvl="0">
      <w:lvlJc w:val="left"/>
      <w:lvlText w:val="%1)"/>
      <w:numFmt w:val="lowerLetter"/>
      <w:start w:val="5"/>
    </w:lvl>
  </w:abstractNum>
  <w:abstractNum w:abstractNumId="14">
    <w:nsid w:val="D34B6A8"/>
    <w:multiLevelType w:val="hybridMultilevel"/>
    <w:lvl w:ilvl="0">
      <w:lvlJc w:val="left"/>
      <w:lvlText w:val="%1)"/>
      <w:numFmt w:val="lowerLetter"/>
      <w:start w:val="6"/>
    </w:lvl>
  </w:abstractNum>
  <w:abstractNum w:abstractNumId="15">
    <w:nsid w:val="10233C99"/>
    <w:multiLevelType w:val="hybridMultilevel"/>
    <w:lvl w:ilvl="0">
      <w:lvlJc w:val="left"/>
      <w:lvlText w:val="%1)"/>
      <w:numFmt w:val="lowerLetter"/>
      <w:start w:val="5"/>
    </w:lvl>
  </w:abstractNum>
  <w:abstractNum w:abstractNumId="16">
    <w:nsid w:val="3F6AB60F"/>
    <w:multiLevelType w:val="hybridMultilevel"/>
    <w:lvl w:ilvl="0">
      <w:lvlJc w:val="left"/>
      <w:lvlText w:val="%1."/>
      <w:numFmt w:val="lowerRoman"/>
      <w:start w:val="2"/>
    </w:lvl>
  </w:abstractNum>
  <w:abstractNum w:abstractNumId="17">
    <w:nsid w:val="61574095"/>
    <w:multiLevelType w:val="hybridMultilevel"/>
    <w:lvl w:ilvl="0">
      <w:lvlJc w:val="left"/>
      <w:lvlText w:val="%1)"/>
      <w:numFmt w:val="lowerLetter"/>
      <w:start w:val="1"/>
    </w:lvl>
  </w:abstractNum>
  <w:abstractNum w:abstractNumId="18">
    <w:nsid w:val="7E0C57B1"/>
    <w:multiLevelType w:val="hybridMultilevel"/>
    <w:lvl w:ilvl="0">
      <w:lvlJc w:val="left"/>
      <w:lvlText w:val="%1)"/>
      <w:numFmt w:val="lowerLetter"/>
      <w:start w:val="1"/>
    </w:lvl>
  </w:abstractNum>
  <w:abstractNum w:abstractNumId="19">
    <w:nsid w:val="77AE35EB"/>
    <w:multiLevelType w:val="hybridMultilevel"/>
    <w:lvl w:ilvl="0">
      <w:lvlJc w:val="left"/>
      <w:lvlText w:val="%1)"/>
      <w:numFmt w:val="lowerLetter"/>
      <w:start w:val="5"/>
    </w:lvl>
  </w:abstractNum>
  <w:abstractNum w:abstractNumId="20">
    <w:nsid w:val="579BE4F1"/>
    <w:multiLevelType w:val="hybridMultilevel"/>
    <w:lvl w:ilvl="0">
      <w:lvlJc w:val="left"/>
      <w:lvlText w:val="%1)"/>
      <w:numFmt w:val="lowerLetter"/>
      <w:start w:val="10"/>
    </w:lvl>
  </w:abstractNum>
  <w:abstractNum w:abstractNumId="21">
    <w:nsid w:val="310C50B3"/>
    <w:multiLevelType w:val="hybridMultilevel"/>
    <w:lvl w:ilvl="0">
      <w:lvlJc w:val="left"/>
      <w:lvlText w:val="(%1)"/>
      <w:numFmt w:val="decimal"/>
      <w:start w:val="1"/>
    </w:lvl>
    <w:lvl w:ilvl="1">
      <w:lvlJc w:val="left"/>
      <w:lvlText w:val="☐"/>
      <w:numFmt w:val="bullet"/>
      <w:start w:val="1"/>
    </w:lvl>
  </w:abstractNum>
  <w:abstractNum w:abstractNumId="22">
    <w:nsid w:val="5FF87E05"/>
    <w:multiLevelType w:val="hybridMultilevel"/>
    <w:lvl w:ilvl="0">
      <w:lvlJc w:val="left"/>
      <w:lvlText w:val="%1"/>
      <w:numFmt w:val="upperLetter"/>
      <w:start w:val="1"/>
    </w:lvl>
    <w:lvl w:ilvl="1">
      <w:lvlJc w:val="left"/>
      <w:lvlText w:val="%2)"/>
      <w:numFmt w:val="lowerLetter"/>
      <w:start w:val="1"/>
    </w:lvl>
  </w:abstractNum>
  <w:abstractNum w:abstractNumId="23">
    <w:nsid w:val="2F305DEF"/>
    <w:multiLevelType w:val="hybridMultilevel"/>
    <w:lvl w:ilvl="0">
      <w:lvlJc w:val="left"/>
      <w:lvlText w:val="(%1)"/>
      <w:numFmt w:val="upperLetter"/>
      <w:start w:val="1"/>
    </w:lvl>
    <w:lvl w:ilvl="1">
      <w:lvlJc w:val="left"/>
      <w:lvlText w:val="%2"/>
      <w:numFmt w:val="lowerLetter"/>
      <w:start w:val="1"/>
    </w:lvl>
  </w:abstractNum>
  <w:abstractNum w:abstractNumId="24">
    <w:nsid w:val="25A70BF7"/>
    <w:multiLevelType w:val="hybridMultilevel"/>
    <w:lvl w:ilvl="0">
      <w:lvlJc w:val="left"/>
      <w:lvlText w:val="(%1)"/>
      <w:numFmt w:val="upperLetter"/>
      <w:start w:val="24"/>
    </w:lvl>
  </w:abstractNum>
  <w:abstractNum w:abstractNumId="25">
    <w:nsid w:val="1DBABF00"/>
    <w:multiLevelType w:val="hybridMultilevel"/>
    <w:lvl w:ilvl="0">
      <w:lvlJc w:val="left"/>
      <w:lvlText w:val="(%1)"/>
      <w:numFmt w:val="decimal"/>
      <w:start w:val="9"/>
    </w:lvl>
  </w:abstractNum>
  <w:abstractNum w:abstractNumId="26">
    <w:nsid w:val="4AD084E9"/>
    <w:multiLevelType w:val="hybridMultilevel"/>
    <w:lvl w:ilvl="0">
      <w:lvlJc w:val="left"/>
      <w:lvlText w:val="%1)"/>
      <w:numFmt w:val="lowerLetter"/>
      <w:start w:val="4"/>
    </w:lvl>
  </w:abstractNum>
  <w:abstractNum w:abstractNumId="27">
    <w:nsid w:val="1F48EAA1"/>
    <w:multiLevelType w:val="hybridMultilevel"/>
    <w:lvl w:ilvl="0">
      <w:lvlJc w:val="left"/>
      <w:lvlText w:val="%1."/>
      <w:numFmt w:val="lowerRoman"/>
      <w:start w:val="2"/>
    </w:lvl>
  </w:abstractNum>
  <w:abstractNum w:abstractNumId="28">
    <w:nsid w:val="1381823A"/>
    <w:multiLevelType w:val="hybridMultilevel"/>
    <w:lvl w:ilvl="0">
      <w:lvlJc w:val="left"/>
      <w:lvlText w:val="%1."/>
      <w:numFmt w:val="lowerRoman"/>
      <w:start w:val="7"/>
    </w:lvl>
  </w:abstractNum>
  <w:abstractNum w:abstractNumId="29">
    <w:nsid w:val="5DB70AE5"/>
    <w:multiLevelType w:val="hybridMultilevel"/>
    <w:lvl w:ilvl="0">
      <w:lvlJc w:val="left"/>
      <w:lvlText w:val="%1)"/>
      <w:numFmt w:val="lowerLetter"/>
      <w:start w:val="5"/>
    </w:lvl>
  </w:abstractNum>
  <w:abstractNum w:abstractNumId="30">
    <w:nsid w:val="100F8FCA"/>
    <w:multiLevelType w:val="hybridMultilevel"/>
    <w:lvl w:ilvl="0">
      <w:lvlJc w:val="left"/>
      <w:lvlText w:val="%1)"/>
      <w:numFmt w:val="lowerLetter"/>
      <w:start w:val="1"/>
    </w:lvl>
  </w:abstractNum>
  <w:abstractNum w:abstractNumId="31">
    <w:nsid w:val="6590700B"/>
    <w:multiLevelType w:val="hybridMultilevel"/>
    <w:lvl w:ilvl="0">
      <w:lvlJc w:val="left"/>
      <w:lvlText w:val="%1"/>
      <w:numFmt w:val="lowerRoman"/>
      <w:start w:val="1"/>
    </w:lvl>
    <w:lvl w:ilvl="1">
      <w:lvlJc w:val="left"/>
      <w:lvlText w:val="%2)"/>
      <w:numFmt w:val="lowerLetter"/>
      <w:start w:val="4"/>
    </w:lvl>
  </w:abstractNum>
  <w:abstractNum w:abstractNumId="32">
    <w:nsid w:val="15014ACB"/>
    <w:multiLevelType w:val="hybridMultilevel"/>
    <w:lvl w:ilvl="0">
      <w:lvlJc w:val="left"/>
      <w:lvlText w:val="(%1)"/>
      <w:numFmt w:val="lowerRoman"/>
      <w:start w:val="5"/>
    </w:lvl>
    <w:lvl w:ilvl="1">
      <w:lvlJc w:val="left"/>
      <w:lvlText w:val="%2"/>
      <w:numFmt w:val="lowerLetter"/>
      <w:start w:val="1"/>
    </w:lvl>
  </w:abstractNum>
  <w:abstractNum w:abstractNumId="33">
    <w:nsid w:val="5F5E7FD0"/>
    <w:multiLevelType w:val="hybridMultilevel"/>
    <w:lvl w:ilvl="0">
      <w:lvlJc w:val="left"/>
      <w:lvlText w:val="%1)"/>
      <w:numFmt w:val="lowerLetter"/>
      <w:start w:val="5"/>
    </w:lvl>
    <w:lvl w:ilvl="1">
      <w:lvlJc w:val="left"/>
      <w:lvlText w:val="%2."/>
      <w:numFmt w:val="lowerRoman"/>
      <w:start w:val="1"/>
    </w:lvl>
  </w:abstractNum>
  <w:abstractNum w:abstractNumId="34">
    <w:nsid w:val="98A3148"/>
    <w:multiLevelType w:val="hybridMultilevel"/>
    <w:lvl w:ilvl="0">
      <w:lvlJc w:val="left"/>
      <w:lvlText w:val="%1)"/>
      <w:numFmt w:val="lowerLetter"/>
      <w:start w:val="1"/>
    </w:lvl>
  </w:abstractNum>
  <w:abstractNum w:abstractNumId="35">
    <w:nsid w:val="799D0247"/>
    <w:multiLevelType w:val="hybridMultilevel"/>
    <w:lvl w:ilvl="0">
      <w:lvlJc w:val="left"/>
      <w:lvlText w:val="%1)"/>
      <w:numFmt w:val="lowerLetter"/>
      <w:start w:val="1"/>
    </w:lvl>
  </w:abstractNum>
  <w:abstractNum w:abstractNumId="36">
    <w:nsid w:val="6B94764"/>
    <w:multiLevelType w:val="hybridMultilevel"/>
    <w:lvl w:ilvl="0">
      <w:lvlJc w:val="left"/>
      <w:lvlText w:val="%1)"/>
      <w:numFmt w:val="lowerLetter"/>
      <w:start w:val="4"/>
    </w:lvl>
  </w:abstractNum>
  <w:abstractNum w:abstractNumId="37">
    <w:nsid w:val="42C296BD"/>
    <w:multiLevelType w:val="hybridMultilevel"/>
    <w:lvl w:ilvl="0">
      <w:lvlJc w:val="left"/>
      <w:lvlText w:val="%1)"/>
      <w:numFmt w:val="lowerLetter"/>
      <w:start w:val="5"/>
    </w:lvl>
  </w:abstractNum>
  <w:abstractNum w:abstractNumId="38">
    <w:nsid w:val="168E121F"/>
    <w:multiLevelType w:val="hybridMultilevel"/>
    <w:lvl w:ilvl="0">
      <w:lvlJc w:val="left"/>
      <w:lvlText w:val="%1)"/>
      <w:numFmt w:val="lowerLetter"/>
      <w:start w:val="9"/>
    </w:lvl>
  </w:abstractNum>
  <w:abstractNum w:abstractNumId="39">
    <w:nsid w:val="1EBA5D23"/>
    <w:multiLevelType w:val="hybridMultilevel"/>
    <w:lvl w:ilvl="0">
      <w:lvlJc w:val="left"/>
      <w:lvlText w:val="(%1)"/>
      <w:numFmt w:val="decimal"/>
      <w:start w:val="1"/>
    </w:lvl>
  </w:abstractNum>
  <w:abstractNum w:abstractNumId="40">
    <w:nsid w:val="661E3F1E"/>
    <w:multiLevelType w:val="hybridMultilevel"/>
    <w:lvl w:ilvl="0">
      <w:lvlJc w:val="left"/>
      <w:lvlText w:val="(%1)"/>
      <w:numFmt w:val="decimal"/>
      <w:start w:val="2"/>
    </w:lvl>
    <w:lvl w:ilvl="1">
      <w:lvlJc w:val="left"/>
      <w:lvlText w:val="["/>
      <w:numFmt w:val="bullet"/>
      <w:start w:val="1"/>
    </w:lvl>
  </w:abstractNum>
  <w:abstractNum w:abstractNumId="41">
    <w:nsid w:val="5DC79EA8"/>
    <w:multiLevelType w:val="hybridMultilevel"/>
    <w:lvl w:ilvl="0">
      <w:lvlJc w:val="left"/>
      <w:lvlText w:val="(%1)"/>
      <w:numFmt w:val="lowerLetter"/>
      <w:start w:val="1"/>
    </w:lvl>
  </w:abstractNum>
  <w:abstractNum w:abstractNumId="42">
    <w:nsid w:val="540A471C"/>
    <w:multiLevelType w:val="hybridMultilevel"/>
    <w:lvl w:ilvl="0">
      <w:lvlJc w:val="left"/>
      <w:lvlText w:val="(%1)"/>
      <w:numFmt w:val="lowerLetter"/>
      <w:start w:val="1"/>
    </w:lvl>
    <w:lvl w:ilvl="1">
      <w:lvlJc w:val="left"/>
      <w:lvlText w:val="(%2)"/>
      <w:numFmt w:val="lowerRoman"/>
      <w:start w:val="1"/>
    </w:lvl>
  </w:abstractNum>
  <w:abstractNum w:abstractNumId="43">
    <w:nsid w:val="7BD3EE7B"/>
    <w:multiLevelType w:val="hybridMultilevel"/>
    <w:lvl w:ilvl="0">
      <w:lvlJc w:val="left"/>
      <w:lvlText w:val="%1"/>
      <w:numFmt w:val="lowerLetter"/>
      <w:start w:val="1"/>
    </w:lvl>
    <w:lvl w:ilvl="1">
      <w:lvlJc w:val="left"/>
      <w:lvlText w:val="(%2)"/>
      <w:numFmt w:val="lowerRoman"/>
      <w:start w:val="12"/>
    </w:lvl>
  </w:abstractNum>
  <w:abstractNum w:abstractNumId="44">
    <w:nsid w:val="51D9C564"/>
    <w:multiLevelType w:val="hybridMultilevel"/>
    <w:lvl w:ilvl="0">
      <w:lvlJc w:val="left"/>
      <w:lvlText w:val="(%1)"/>
      <w:numFmt w:val="lowerLetter"/>
      <w:start w:val="2"/>
    </w:lvl>
    <w:lvl w:ilvl="1">
      <w:lvlJc w:val="left"/>
      <w:lvlText w:val="(%2)"/>
      <w:numFmt w:val="lowerRoman"/>
      <w:start w:val="1"/>
    </w:lvl>
  </w:abstractNum>
  <w:abstractNum w:abstractNumId="45">
    <w:nsid w:val="613EFDC5"/>
    <w:multiLevelType w:val="hybridMultilevel"/>
    <w:lvl w:ilvl="0">
      <w:lvlJc w:val="left"/>
      <w:lvlText w:val="%1"/>
      <w:numFmt w:val="lowerLetter"/>
      <w:start w:val="1"/>
    </w:lvl>
    <w:lvl w:ilvl="1">
      <w:lvlJc w:val="left"/>
      <w:lvlText w:val="(%2)"/>
      <w:numFmt w:val="lowerRoman"/>
      <w:start w:val="1"/>
    </w:lvl>
  </w:abstractNum>
  <w:abstractNum w:abstractNumId="46">
    <w:nsid w:val="BF72B14"/>
    <w:multiLevelType w:val="hybridMultilevel"/>
    <w:lvl w:ilvl="0">
      <w:lvlJc w:val="left"/>
      <w:lvlText w:val="(%1)"/>
      <w:numFmt w:val="lowerLetter"/>
      <w:start w:val="2"/>
    </w:lvl>
    <w:lvl w:ilvl="1">
      <w:lvlJc w:val="left"/>
      <w:lvlText w:val="(%2)"/>
      <w:numFmt w:val="lowerRoman"/>
      <w:start w:val="1"/>
    </w:lvl>
  </w:abstractNum>
  <w:abstractNum w:abstractNumId="47">
    <w:nsid w:val="11447B73"/>
    <w:multiLevelType w:val="hybridMultilevel"/>
    <w:lvl w:ilvl="0">
      <w:lvlJc w:val="left"/>
      <w:lvlText w:val="(%1)"/>
      <w:numFmt w:val="lowerRoman"/>
      <w:start w:val="5"/>
    </w:lvl>
  </w:abstractNum>
  <w:abstractNum w:abstractNumId="48">
    <w:nsid w:val="42963E5A"/>
    <w:multiLevelType w:val="hybridMultilevel"/>
    <w:lvl w:ilvl="0">
      <w:lvlJc w:val="left"/>
      <w:lvlText w:val="(%1)"/>
      <w:numFmt w:val="lowerLetter"/>
      <w:start w:val="1"/>
    </w:lvl>
  </w:abstractNum>
  <w:abstractNum w:abstractNumId="49">
    <w:nsid w:val="A0382C5"/>
    <w:multiLevelType w:val="hybridMultilevel"/>
    <w:lvl w:ilvl="0">
      <w:lvlJc w:val="left"/>
      <w:lvlText w:val="%1"/>
      <w:numFmt w:val="lowerLetter"/>
      <w:start w:val="1"/>
    </w:lvl>
    <w:lvl w:ilvl="1">
      <w:lvlJc w:val="left"/>
      <w:lvlText w:val="(%2)"/>
      <w:numFmt w:val="lowerLetter"/>
      <w:start w:val="3"/>
    </w:lvl>
  </w:abstractNum>
  <w:abstractNum w:abstractNumId="50">
    <w:nsid w:val="8F2B15E"/>
    <w:multiLevelType w:val="hybridMultilevel"/>
    <w:lvl w:ilvl="0">
      <w:lvlJc w:val="left"/>
      <w:lvlText w:val="(%1)"/>
      <w:numFmt w:val="lowerLetter"/>
      <w:start w:val="9"/>
    </w:lvl>
    <w:lvl w:ilvl="1">
      <w:lvlJc w:val="left"/>
      <w:lvlText w:val="(%2)"/>
      <w:numFmt w:val="lowerLetter"/>
      <w:start w:val="6"/>
    </w:lvl>
  </w:abstractNum>
  <w:abstractNum w:abstractNumId="51">
    <w:nsid w:val="1A32234B"/>
    <w:multiLevelType w:val="hybridMultilevel"/>
    <w:lvl w:ilvl="0">
      <w:lvlJc w:val="left"/>
      <w:lvlText w:val="(%1)"/>
      <w:numFmt w:val="lowerLetter"/>
      <w:start w:val="7"/>
    </w:lvl>
  </w:abstractNum>
  <w:abstractNum w:abstractNumId="52">
    <w:nsid w:val="3B0FD379"/>
    <w:multiLevelType w:val="hybridMultilevel"/>
    <w:lvl w:ilvl="0">
      <w:lvlJc w:val="left"/>
      <w:lvlText w:val="(%1)"/>
      <w:numFmt w:val="lowerLetter"/>
      <w:start w:val="10"/>
    </w:lvl>
  </w:abstractNum>
  <w:abstractNum w:abstractNumId="53">
    <w:nsid w:val="68EB2F63"/>
    <w:multiLevelType w:val="hybridMultilevel"/>
    <w:lvl w:ilvl="0">
      <w:lvlJc w:val="left"/>
      <w:lvlText w:val="(%1)"/>
      <w:numFmt w:val="lowerLetter"/>
      <w:start w:val="13"/>
    </w:lvl>
    <w:lvl w:ilvl="1">
      <w:lvlJc w:val="left"/>
      <w:lvlText w:val="(%2)"/>
      <w:numFmt w:val="lowerRoman"/>
      <w:start w:val="1"/>
    </w:lvl>
  </w:abstractNum>
  <w:abstractNum w:abstractNumId="54">
    <w:nsid w:val="4962813B"/>
    <w:multiLevelType w:val="hybridMultilevel"/>
    <w:lvl w:ilvl="0">
      <w:lvlJc w:val="left"/>
      <w:lvlText w:val="%1"/>
      <w:numFmt w:val="lowerLetter"/>
      <w:start w:val="1"/>
    </w:lvl>
    <w:lvl w:ilvl="1">
      <w:lvlJc w:val="left"/>
      <w:lvlText w:val="(%2)"/>
      <w:numFmt w:val="lowerLetter"/>
      <w:start w:val="17"/>
    </w:lvl>
  </w:abstractNum>
  <w:abstractNum w:abstractNumId="55">
    <w:nsid w:val="60B6DF70"/>
    <w:multiLevelType w:val="hybridMultilevel"/>
    <w:lvl w:ilvl="0">
      <w:lvlJc w:val="left"/>
      <w:lvlText w:val="(%1)"/>
      <w:numFmt w:val="lowerLetter"/>
      <w:start w:val="35"/>
    </w:lvl>
    <w:lvl w:ilvl="1">
      <w:lvlJc w:val="left"/>
      <w:lvlText w:val="(%2)"/>
      <w:numFmt w:val="lowerLetter"/>
      <w:start w:val="19"/>
    </w:lvl>
  </w:abstractNum>
  <w:abstractNum w:abstractNumId="56">
    <w:nsid w:val="6A5EE64"/>
    <w:multiLevelType w:val="hybridMultilevel"/>
    <w:lvl w:ilvl="0">
      <w:lvlJc w:val="left"/>
      <w:lvlText w:val="(%1)"/>
      <w:numFmt w:val="lowerLetter"/>
      <w:start w:val="23"/>
    </w:lvl>
  </w:abstractNum>
  <w:abstractNum w:abstractNumId="57">
    <w:nsid w:val="14330624"/>
    <w:multiLevelType w:val="hybridMultilevel"/>
    <w:lvl w:ilvl="0">
      <w:lvlJc w:val="left"/>
      <w:lvlText w:val="%1"/>
      <w:numFmt w:val="lowerLetter"/>
      <w:start w:val="1"/>
    </w:lvl>
    <w:lvl w:ilvl="1">
      <w:lvlJc w:val="left"/>
      <w:lvlText w:val="(%2)"/>
      <w:numFmt w:val="lowerLetter"/>
      <w:start w:val="27"/>
    </w:lvl>
  </w:abstractNum>
  <w:abstractNum w:abstractNumId="58">
    <w:nsid w:val="7FFFCA11"/>
    <w:multiLevelType w:val="hybridMultilevel"/>
    <w:lvl w:ilvl="0">
      <w:lvlJc w:val="left"/>
      <w:lvlText w:val="(%1)"/>
      <w:numFmt w:val="lowerLetter"/>
      <w:start w:val="61"/>
    </w:lvl>
    <w:lvl w:ilvl="1">
      <w:lvlJc w:val="left"/>
      <w:lvlText w:val="(%2)"/>
      <w:numFmt w:val="lowerLetter"/>
      <w:start w:val="29"/>
    </w:lvl>
  </w:abstractNum>
  <w:abstractNum w:abstractNumId="59">
    <w:nsid w:val="1A27709E"/>
    <w:multiLevelType w:val="hybridMultilevel"/>
    <w:lvl w:ilvl="0">
      <w:lvlJc w:val="left"/>
      <w:lvlText w:val="(%1)"/>
      <w:numFmt w:val="lowerLetter"/>
      <w:start w:val="32"/>
    </w:lvl>
  </w:abstractNum>
  <w:abstractNum w:abstractNumId="60">
    <w:nsid w:val="71EA1109"/>
    <w:multiLevelType w:val="hybridMultilevel"/>
    <w:lvl w:ilvl="0">
      <w:lvlJc w:val="left"/>
      <w:lvlText w:val="(%1)"/>
      <w:numFmt w:val="lowerLetter"/>
      <w:start w:val="36"/>
    </w:lvl>
  </w:abstractNum>
  <w:abstractNum w:abstractNumId="61">
    <w:nsid w:val="100F59DC"/>
    <w:multiLevelType w:val="hybridMultilevel"/>
    <w:lvl w:ilvl="0">
      <w:lvlJc w:val="left"/>
      <w:lvlText w:val="(%1)"/>
      <w:numFmt w:val="lowerLetter"/>
      <w:start w:val="44"/>
    </w:lvl>
  </w:abstractNum>
  <w:abstractNum w:abstractNumId="62">
    <w:nsid w:val="7FB7E0AA"/>
    <w:multiLevelType w:val="hybridMultilevel"/>
    <w:lvl w:ilvl="0">
      <w:lvlJc w:val="left"/>
      <w:lvlText w:val="(%1)"/>
      <w:numFmt w:val="lowerLetter"/>
      <w:start w:val="1"/>
    </w:lvl>
  </w:abstractNum>
  <w:abstractNum w:abstractNumId="63">
    <w:nsid w:val="6EB5BD4"/>
    <w:multiLevelType w:val="hybridMultilevel"/>
    <w:lvl w:ilvl="0">
      <w:lvlJc w:val="left"/>
      <w:lvlText w:val="(%1)"/>
      <w:numFmt w:val="lowerLetter"/>
      <w:start w:val="5"/>
    </w:lvl>
  </w:abstractNum>
  <w:abstractNum w:abstractNumId="64">
    <w:nsid w:val="6F6DD9AC"/>
    <w:multiLevelType w:val="hybridMultilevel"/>
    <w:lvl w:ilvl="0">
      <w:lvlJc w:val="left"/>
      <w:lvlText w:val="(%1)"/>
      <w:numFmt w:val="lowerLetter"/>
      <w:start w:val="1"/>
    </w:lvl>
  </w:abstractNum>
  <w:abstractNum w:abstractNumId="65">
    <w:nsid w:val="94211F2"/>
    <w:multiLevelType w:val="hybridMultilevel"/>
    <w:lvl w:ilvl="0">
      <w:lvlJc w:val="left"/>
      <w:lvlText w:val="(%1)"/>
      <w:numFmt w:val="lowerLetter"/>
      <w:start w:val="2"/>
    </w:lvl>
  </w:abstractNum>
  <w:abstractNum w:abstractNumId="66">
    <w:nsid w:val="885E1B"/>
    <w:multiLevelType w:val="hybridMultilevel"/>
    <w:lvl w:ilvl="0">
      <w:lvlJc w:val="left"/>
      <w:lvlText w:val="(%1)"/>
      <w:numFmt w:val="lowerLetter"/>
      <w:start w:val="3"/>
    </w:lvl>
  </w:abstractNum>
  <w:abstractNum w:abstractNumId="67">
    <w:nsid w:val="76272110"/>
    <w:multiLevelType w:val="hybridMultilevel"/>
    <w:lvl w:ilvl="0">
      <w:lvlJc w:val="left"/>
      <w:lvlText w:val="(%1)"/>
      <w:numFmt w:val="lowerLetter"/>
      <w:start w:val="4"/>
    </w:lvl>
  </w:abstractNum>
  <w:abstractNum w:abstractNumId="68">
    <w:nsid w:val="4C04A8AF"/>
    <w:multiLevelType w:val="hybridMultilevel"/>
    <w:lvl w:ilvl="0">
      <w:lvlJc w:val="left"/>
      <w:lvlText w:val="(%1)"/>
      <w:numFmt w:val="lowerLetter"/>
      <w:start w:val="1"/>
    </w:lvl>
  </w:abstractNum>
  <w:abstractNum w:abstractNumId="69">
    <w:nsid w:val="1716703B"/>
    <w:multiLevelType w:val="hybridMultilevel"/>
    <w:lvl w:ilvl="0">
      <w:lvlJc w:val="left"/>
      <w:lvlText w:val="(%1)"/>
      <w:numFmt w:val="lowerLetter"/>
      <w:start w:val="2"/>
    </w:lvl>
  </w:abstractNum>
  <w:abstractNum w:abstractNumId="70">
    <w:nsid w:val="14E17E33"/>
    <w:multiLevelType w:val="hybridMultilevel"/>
    <w:lvl w:ilvl="0">
      <w:lvlJc w:val="left"/>
      <w:lvlText w:val="(%1)"/>
      <w:numFmt w:val="lowerLetter"/>
      <w:start w:val="4"/>
    </w:lvl>
  </w:abstractNum>
  <w:abstractNum w:abstractNumId="71">
    <w:nsid w:val="3222E7CD"/>
    <w:multiLevelType w:val="hybridMultilevel"/>
    <w:lvl w:ilvl="0">
      <w:lvlJc w:val="left"/>
      <w:lvlText w:val="%1."/>
      <w:numFmt w:val="decimal"/>
      <w:start w:val="1"/>
    </w:lvl>
  </w:abstractNum>
  <w:abstractNum w:abstractNumId="72">
    <w:nsid w:val="74DE0EE3"/>
    <w:multiLevelType w:val="hybridMultilevel"/>
    <w:lvl w:ilvl="0">
      <w:lvlJc w:val="left"/>
      <w:lvlText w:val="%1."/>
      <w:numFmt w:val="decimal"/>
      <w:start w:val="2"/>
    </w:lvl>
  </w:abstractNum>
  <w:abstractNum w:abstractNumId="73">
    <w:nsid w:val="68EBC550"/>
    <w:multiLevelType w:val="hybridMultilevel"/>
    <w:lvl w:ilvl="0">
      <w:lvlJc w:val="left"/>
      <w:lvlText w:val="(%1)"/>
      <w:numFmt w:val="decimal"/>
      <w:start w:val="7"/>
    </w:lvl>
    <w:lvl w:ilvl="1">
      <w:lvlJc w:val="left"/>
      <w:lvlText w:val="(%2)"/>
      <w:numFmt w:val="lowerLetter"/>
      <w:start w:val="2"/>
    </w:lvl>
  </w:abstractNum>
  <w:abstractNum w:abstractNumId="74">
    <w:nsid w:val="2DF6D648"/>
    <w:multiLevelType w:val="hybridMultilevel"/>
    <w:lvl w:ilvl="0">
      <w:lvlJc w:val="left"/>
      <w:lvlText w:val="%1."/>
      <w:numFmt w:val="decimal"/>
      <w:start w:val="3"/>
    </w:lvl>
  </w:abstractNum>
  <w:abstractNum w:abstractNumId="75">
    <w:nsid w:val="46B7D447"/>
    <w:multiLevelType w:val="hybridMultilevel"/>
    <w:lvl w:ilvl="0">
      <w:lvlJc w:val="left"/>
      <w:lvlText w:val="(%1)"/>
      <w:numFmt w:val="lowerLetter"/>
      <w:start w:val="1"/>
    </w:lvl>
    <w:lvl w:ilvl="1">
      <w:lvlJc w:val="left"/>
      <w:lvlText w:val="(%2)"/>
      <w:numFmt w:val="lowerRoman"/>
      <w:start w:val="1"/>
    </w:lvl>
  </w:abstractNum>
  <w:abstractNum w:abstractNumId="76">
    <w:nsid w:val="4A2AC315"/>
    <w:multiLevelType w:val="hybridMultilevel"/>
    <w:lvl w:ilvl="0">
      <w:lvlJc w:val="left"/>
      <w:lvlText w:val="(%1)"/>
      <w:numFmt w:val="lowerLetter"/>
      <w:start w:val="3"/>
    </w:lvl>
  </w:abstractNum>
  <w:abstractNum w:abstractNumId="77">
    <w:nsid w:val="39EE015C"/>
    <w:multiLevelType w:val="hybridMultilevel"/>
    <w:lvl w:ilvl="0">
      <w:lvlJc w:val="left"/>
      <w:lvlText w:val="%1"/>
      <w:numFmt w:val="decimal"/>
      <w:start w:val="1"/>
    </w:lvl>
    <w:lvl w:ilvl="1">
      <w:lvlJc w:val="left"/>
      <w:lvlText w:val="(%2)"/>
      <w:numFmt w:val="lowerLetter"/>
      <w:start w:val="9"/>
    </w:lvl>
  </w:abstractNum>
  <w:abstractNum w:abstractNumId="78">
    <w:nsid w:val="57FC4FBB"/>
    <w:multiLevelType w:val="hybridMultilevel"/>
    <w:lvl w:ilvl="0">
      <w:lvlJc w:val="left"/>
      <w:lvlText w:val="%1."/>
      <w:numFmt w:val="decimal"/>
      <w:start w:val="4"/>
    </w:lvl>
    <w:lvl w:ilvl="1">
      <w:lvlJc w:val="left"/>
      <w:lvlText w:val="%2"/>
      <w:numFmt w:val="lowerLetter"/>
      <w:start w:val="1"/>
    </w:lvl>
  </w:abstractNum>
  <w:abstractNum w:abstractNumId="79">
    <w:nsid w:val="CC1016F"/>
    <w:multiLevelType w:val="hybridMultilevel"/>
    <w:lvl w:ilvl="0">
      <w:lvlJc w:val="left"/>
      <w:lvlText w:val="%1."/>
      <w:numFmt w:val="decimal"/>
      <w:start w:val="5"/>
    </w:lvl>
    <w:lvl w:ilvl="1">
      <w:lvlJc w:val="left"/>
      <w:lvlText w:val="(%2)"/>
      <w:numFmt w:val="lowerLetter"/>
      <w:start w:val="1"/>
    </w:lvl>
  </w:abstractNum>
  <w:abstractNum w:abstractNumId="80">
    <w:nsid w:val="43F18422"/>
    <w:multiLevelType w:val="hybridMultilevel"/>
    <w:lvl w:ilvl="0">
      <w:lvlJc w:val="left"/>
      <w:lvlText w:val="(%1)"/>
      <w:numFmt w:val="lowerLetter"/>
      <w:start w:val="4"/>
    </w:lvl>
  </w:abstractNum>
  <w:abstractNum w:abstractNumId="81">
    <w:nsid w:val="60EF0119"/>
    <w:multiLevelType w:val="hybridMultilevel"/>
    <w:lvl w:ilvl="0">
      <w:lvlJc w:val="left"/>
      <w:lvlText w:val="%1."/>
      <w:numFmt w:val="decimal"/>
      <w:start w:val="6"/>
    </w:lvl>
    <w:lvl w:ilvl="1">
      <w:lvlJc w:val="left"/>
      <w:lvlText w:val="(%2)"/>
      <w:numFmt w:val="lowerLetter"/>
      <w:start w:val="1"/>
    </w:lvl>
  </w:abstractNum>
  <w:abstractNum w:abstractNumId="82">
    <w:nsid w:val="26F324BA"/>
    <w:multiLevelType w:val="hybridMultilevel"/>
    <w:lvl w:ilvl="0">
      <w:lvlJc w:val="left"/>
      <w:lvlText w:val="(%1)"/>
      <w:numFmt w:val="lowerLetter"/>
      <w:start w:val="2"/>
    </w:lvl>
  </w:abstractNum>
  <w:abstractNum w:abstractNumId="83">
    <w:nsid w:val="7F01579B"/>
    <w:multiLevelType w:val="hybridMultilevel"/>
    <w:lvl w:ilvl="0">
      <w:lvlJc w:val="left"/>
      <w:lvlText w:val="(%1)"/>
      <w:numFmt w:val="lowerLetter"/>
      <w:start w:val="8"/>
    </w:lvl>
  </w:abstractNum>
  <w:abstractNum w:abstractNumId="84">
    <w:nsid w:val="49DA307D"/>
    <w:multiLevelType w:val="hybridMultilevel"/>
    <w:lvl w:ilvl="0">
      <w:lvlJc w:val="left"/>
      <w:lvlText w:val="●"/>
      <w:numFmt w:val="bullet"/>
      <w:start w:val="1"/>
    </w:lvl>
  </w:abstractNum>
  <w:abstractNum w:abstractNumId="85">
    <w:nsid w:val="7055A5F5"/>
    <w:multiLevelType w:val="hybridMultilevel"/>
    <w:lvl w:ilvl="0">
      <w:lvlJc w:val="left"/>
      <w:lvlText w:val="%1."/>
      <w:numFmt w:val="decimal"/>
      <w:start w:val="1"/>
    </w:lvl>
    <w:lvl w:ilvl="1">
      <w:lvlJc w:val="left"/>
      <w:lvlText w:val="(%2)"/>
      <w:numFmt w:val="lowerLetter"/>
      <w:start w:val="1"/>
    </w:lvl>
  </w:abstractNum>
  <w:abstractNum w:abstractNumId="86">
    <w:nsid w:val="5FB8370B"/>
    <w:multiLevelType w:val="hybridMultilevel"/>
    <w:lvl w:ilvl="0">
      <w:lvlJc w:val="left"/>
      <w:lvlText w:val="%1."/>
      <w:numFmt w:val="decimal"/>
      <w:start w:val="3"/>
    </w:lvl>
    <w:lvl w:ilvl="1">
      <w:lvlJc w:val="left"/>
      <w:lvlText w:val="(%2)"/>
      <w:numFmt w:val="lowerLetter"/>
      <w:start w:val="1"/>
    </w:lvl>
  </w:abstractNum>
  <w:abstractNum w:abstractNumId="87">
    <w:nsid w:val="50801EE1"/>
    <w:multiLevelType w:val="hybridMultilevel"/>
    <w:lvl w:ilvl="0">
      <w:lvlJc w:val="left"/>
      <w:lvlText w:val="(%1)"/>
      <w:numFmt w:val="lowerLetter"/>
      <w:start w:val="4"/>
    </w:lvl>
  </w:abstractNum>
  <w:abstractNum w:abstractNumId="88">
    <w:nsid w:val="488AC1A"/>
    <w:multiLevelType w:val="hybridMultilevel"/>
    <w:lvl w:ilvl="0">
      <w:lvlJc w:val="left"/>
      <w:lvlText w:val="%1"/>
      <w:numFmt w:val="decimal"/>
      <w:start w:val="1"/>
    </w:lvl>
    <w:lvl w:ilvl="1">
      <w:lvlJc w:val="left"/>
      <w:lvlText w:val="(%2)"/>
      <w:numFmt w:val="lowerLetter"/>
      <w:start w:val="1"/>
    </w:lvl>
  </w:abstractNum>
  <w:abstractNum w:abstractNumId="89">
    <w:nsid w:val="5FB8011C"/>
    <w:multiLevelType w:val="hybridMultilevel"/>
    <w:lvl w:ilvl="0">
      <w:lvlJc w:val="left"/>
      <w:lvlText w:val="%1."/>
      <w:numFmt w:val="decimal"/>
      <w:start w:val="5"/>
    </w:lvl>
    <w:lvl w:ilvl="1">
      <w:lvlJc w:val="left"/>
      <w:lvlText w:val="%2"/>
      <w:numFmt w:val="lowerLetter"/>
      <w:start w:val="1"/>
    </w:lvl>
  </w:abstractNum>
  <w:abstractNum w:abstractNumId="90">
    <w:nsid w:val="6AA78F7F"/>
    <w:multiLevelType w:val="hybridMultilevel"/>
    <w:lvl w:ilvl="0">
      <w:lvlJc w:val="left"/>
      <w:lvlText w:val="(%1)"/>
      <w:numFmt w:val="lowerLetter"/>
      <w:start w:val="1"/>
    </w:lvl>
  </w:abstractNum>
  <w:abstractNum w:abstractNumId="91">
    <w:nsid w:val="7672BD23"/>
    <w:multiLevelType w:val="hybridMultilevel"/>
    <w:lvl w:ilvl="0">
      <w:lvlJc w:val="left"/>
      <w:lvlText w:val="(%1)"/>
      <w:numFmt w:val="lowerRoman"/>
      <w:start w:val="1"/>
    </w:lvl>
  </w:abstractNum>
  <w:abstractNum w:abstractNumId="92">
    <w:nsid w:val="6FC75AF8"/>
    <w:multiLevelType w:val="hybridMultilevel"/>
    <w:lvl w:ilvl="0">
      <w:lvlJc w:val="left"/>
      <w:lvlText w:val="(%1)"/>
      <w:numFmt w:val="lowerRoman"/>
      <w:start w:val="2"/>
    </w:lvl>
  </w:abstractNum>
  <w:abstractNum w:abstractNumId="93">
    <w:nsid w:val="6A5F7029"/>
    <w:multiLevelType w:val="hybridMultilevel"/>
    <w:lvl w:ilvl="0">
      <w:lvlJc w:val="left"/>
      <w:lvlText w:val="(%1)"/>
      <w:numFmt w:val="lowerLetter"/>
      <w:start w:val="2"/>
    </w:lvl>
  </w:abstractNum>
  <w:abstractNum w:abstractNumId="94">
    <w:nsid w:val="7D5E18F8"/>
    <w:multiLevelType w:val="hybridMultilevel"/>
    <w:lvl w:ilvl="0">
      <w:lvlJc w:val="left"/>
      <w:lvlText w:val="(%1)"/>
      <w:numFmt w:val="lowerLetter"/>
      <w:start w:val="3"/>
    </w:lvl>
  </w:abstractNum>
  <w:abstractNum w:abstractNumId="95">
    <w:nsid w:val="5F3534A4"/>
    <w:multiLevelType w:val="hybridMultilevel"/>
    <w:lvl w:ilvl="0">
      <w:lvlJc w:val="left"/>
      <w:lvlText w:val="(%1)"/>
      <w:numFmt w:val="lowerLetter"/>
      <w:start w:val="3"/>
    </w:lvl>
  </w:abstractNum>
  <w:abstractNum w:abstractNumId="96">
    <w:nsid w:val="73A1821B"/>
    <w:multiLevelType w:val="hybridMultilevel"/>
    <w:lvl w:ilvl="0">
      <w:lvlJc w:val="left"/>
      <w:lvlText w:val="(%1)"/>
      <w:numFmt w:val="lowerLetter"/>
      <w:start w:val="1"/>
    </w:lvl>
  </w:abstractNum>
  <w:abstractNum w:abstractNumId="97">
    <w:nsid w:val="7DE67713"/>
    <w:multiLevelType w:val="hybridMultilevel"/>
    <w:lvl w:ilvl="0">
      <w:lvlJc w:val="left"/>
      <w:lvlText w:val="(%1)"/>
      <w:numFmt w:val="lowerLetter"/>
      <w:start w:val="3"/>
    </w:lvl>
  </w:abstractNum>
  <w:abstractNum w:abstractNumId="98">
    <w:nsid w:val="555C55B5"/>
    <w:multiLevelType w:val="hybridMultilevel"/>
    <w:lvl w:ilvl="0">
      <w:lvlJc w:val="left"/>
      <w:lvlText w:val="(%1)"/>
      <w:numFmt w:val="lowerLetter"/>
      <w:start w:val="1"/>
    </w:lvl>
  </w:abstractNum>
  <w:abstractNum w:abstractNumId="99">
    <w:nsid w:val="3FA62ACA"/>
    <w:multiLevelType w:val="hybridMultilevel"/>
    <w:lvl w:ilvl="0">
      <w:lvlJc w:val="left"/>
      <w:lvlText w:val="(%1)"/>
      <w:numFmt w:val="lowerLetter"/>
      <w:start w:val="4"/>
    </w:lvl>
  </w:abstractNum>
  <w:abstractNum w:abstractNumId="100">
    <w:nsid w:val="14FCE74E"/>
    <w:multiLevelType w:val="hybridMultilevel"/>
    <w:lvl w:ilvl="0">
      <w:lvlJc w:val="left"/>
      <w:lvlText w:val="(%1)"/>
      <w:numFmt w:val="lowerLetter"/>
      <w:start w:val="1"/>
    </w:lvl>
  </w:abstractNum>
  <w:abstractNum w:abstractNumId="101">
    <w:nsid w:val="6A3DD3E8"/>
    <w:multiLevelType w:val="hybridMultilevel"/>
    <w:lvl w:ilvl="0">
      <w:lvlJc w:val="left"/>
      <w:lvlText w:val="(%1)"/>
      <w:numFmt w:val="lowerLetter"/>
      <w:start w:val="10"/>
    </w:lvl>
  </w:abstractNum>
  <w:abstractNum w:abstractNumId="102">
    <w:nsid w:val="71C91298"/>
    <w:multiLevelType w:val="hybridMultilevel"/>
    <w:lvl w:ilvl="0">
      <w:lvlJc w:val="left"/>
      <w:lvlText w:val="(%1)"/>
      <w:numFmt w:val="lowerLetter"/>
      <w:start w:val="1"/>
    </w:lvl>
  </w:abstractNum>
  <w:abstractNum w:abstractNumId="103">
    <w:nsid w:val="9DAF632"/>
    <w:multiLevelType w:val="hybridMultilevel"/>
    <w:lvl w:ilvl="0">
      <w:lvlJc w:val="left"/>
      <w:lvlText w:val="(%1)"/>
      <w:numFmt w:val="lowerLetter"/>
      <w:start w:val="2"/>
    </w:lvl>
  </w:abstractNum>
  <w:abstractNum w:abstractNumId="104">
    <w:nsid w:val="53299938"/>
    <w:multiLevelType w:val="hybridMultilevel"/>
    <w:lvl w:ilvl="0">
      <w:lvlJc w:val="left"/>
      <w:lvlText w:val="(%1)"/>
      <w:numFmt w:val="lowerLetter"/>
      <w:start w:val="4"/>
    </w:lvl>
  </w:abstractNum>
  <w:abstractNum w:abstractNumId="105">
    <w:nsid w:val="1FBFE8E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2026-05-21T16:24:58Z</dcterms:created>
  <dcterms:modified xsi:type="dcterms:W3CDTF">2026-05-21T16:24:58Z</dcterms:modified>
</cp:coreProperties>
</file>