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1.htm"/>
      <w:bookmarkStart w:id="1" w:name="ksforms1"/>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2720"/>
        <w:gridCol w:w="60"/>
        <w:gridCol w:w="2465"/>
        <w:gridCol w:w="60"/>
        <w:gridCol w:w="1970"/>
      </w:tblGrid>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82-5024477</w:t>
            </w:r>
          </w:p>
        </w:tc>
      </w:tr>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Code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2929 N Commerce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Miramar, FL 33025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 842-2024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 C. Wong, Ph.D.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2929 N Commerce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Miramar, FL 33025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 842-2024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spacing w:before="0" w:after="0"/>
        <w:ind w:left="0" w:right="0" w:hanging="0"/>
        <w:jc w:val="center"/>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2555"/>
        <w:gridCol w:w="60"/>
        <w:gridCol w:w="2660"/>
      </w:tblGrid>
      <w:tr>
        <w:trPr/>
        <w:tc>
          <w:tcPr>
            <w:tcW w:w="25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James Groth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 Hill PLC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 E. Randolph St., Ste. 3900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 60601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985-5900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Yevgeniya (Jeny) Zarmon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 Hill PLC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 Carnegie Center, Suite 102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Princeton, NJ 08540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785-2918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the effective date of this registration statement, as determined by market conditions.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Section 8(a) of the Securities Act, may determine.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contained in this prospectus is not complete and may be changed. The selling stockholders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7765" w:type="dxa"/>
        <w:jc w:val="left"/>
        <w:tblInd w:w="0" w:type="dxa"/>
        <w:tblLayout w:type="fixed"/>
        <w:tblCellMar>
          <w:top w:w="0" w:type="dxa"/>
          <w:left w:w="0" w:type="dxa"/>
          <w:bottom w:w="0" w:type="dxa"/>
          <w:right w:w="0" w:type="dxa"/>
        </w:tblCellMar>
      </w:tblPr>
      <w:tblGrid>
        <w:gridCol w:w="2750"/>
        <w:gridCol w:w="5015"/>
      </w:tblGrid>
      <w:tr>
        <w:trPr/>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501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AUGUST 20,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6212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2125" cy="847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1,237,364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proposed resale by the respective selling stockholders identified below of up to an aggregate of 1,237,364 shares of our common stock, par value $0.0001 per share (our “Common Stock”), consisting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218,682 shares of our Common Stock (the “Shares”) issued on July 29, 2026 (the “Closing Date”) pursuant to that certain Securities Purchase Agreement, dated as of July 29, 2026 (the “Purchase Agreement”), by and among us and certain accredited investors (the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400,000 shares of our Common Stock issuable upon the exercise of pre-funded warrants issued on the Closing Date (the “Pre-Funded Warrants” and such shares, the “Pre-Funded Warrant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618,682 shares of our Common Stock issuable upon the exercise of common stock purchase warrants to be issued following stockholder approval as required under Nasdaq Listing Rule 5635(d) (the “July 2026 Common Warrants” and such shares, the “Common Warrant Shares,” and together with the Pre-Funded Warrant Shares, the “Warrant Shares”).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we entered into the Purchase Agreement with the Investors, pursuant to which we issued an aggregate of 618,682 units, including units consisting of one share of Common Stock and the right to receive one Common Warrant purchased at $2.585 per unit and units consisting of one Pre-Funded Warrant and the right to receive one Common Warrant purchased at $2.5849 per unit, with such right to receive one Common Warrant to purchase one share of Common Stock being subject to stockholder approval of the issuance of the Common Warrants (the “July 2026 PIPE Transaction”). In connection with the closing of the July 2026 PIPE Transaction, we issued 218,682 Shares and 400,000 Pre-Funded Warrants, and, following receipt of stockholder approval, will issue July 2026 Common Warrants exercisable for up to an aggregate of 618,682 shares of Common Stock, for aggregate gross proceeds of approximately $1.6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July 2026 PIPE Transaction, certain of our directors and executive officers purchased securities offered in the July 2026 PIPE Transaction. Specifically, Hing C. Wong, Ph.D., our Founder and Chief Executive Officer, Scott Garrett, the Chairman of our Board of Directors, and Lee Flowers, our Senior Vice President of Business Development, participated in the July 2026 PIPE Transaction on the same terms and conditions as the other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are exercisable immediately at an exercise price of $0.0001 per share and will remain exercisable until exercised in full. The Pre-Funded Warrants may not be exercised to the extent that, after giving effect to such exercise, the holder would beneficially own more than 9.99% of the outstanding shares of Common Stock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2026 Common Warrants will be issued only following receipt of stockholder approval required under Nasdaq Listing Rule 5635(d), will be exercisable immediately upon issuance at an exercise price of $2.585 per share and will expire five and one-half years from the date of issuance. The July 2026 Common Warrants contain a beneficial ownership limitation of 4.99%, subject to adjustment by the holder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of the Shares and the Warrant Shares pursuant to the registration rights granted to the Investors in that certain Registration Rights Agreement, dated July 29, 2026, by and among us and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offer, sell, or distribute all or a portion of the securities hereby registered publicly or through private transactions at prevailing market prices or at negotiated prices. We will not receive any proceeds from the sale of shares of our Common Stock by the selling stockholders and proceeds from the exercise of Pre-Funded Warrants will be nominal. However, once approved by stockholders and issued by the Company, we may receive proceeds from the exercise of the July 2026 Common Warrants, if exercised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these securities, including with regard to compliance with state securities or “blue sky” laws. The selling stockholders will bear all commissions and discounts, if any, attributable to their sales of shares of our Common Stock. See the section entitled “Plan of Distribution” of this prospectus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Stock Market LLC (“Nasdaq”) under the symbol “HCWB”. On August 17, 2026, the last quoted sale price for our Common Stock as reported on Nasdaq was $2.52 per share, reflecting a one-for-six reverse stock split that was effective on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the federal securities laws, and, as such, may elect to comply with certain reduced public company reporting requirements for future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Investing in our securities is speculative and involves a high degree of risk. You should review carefully the risks and uncertainties described under the heading “</w:t>
      </w:r>
      <w:hyperlink w:anchor="Y-005">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8 of this prospectus before investing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June 30, 2026, we effected a one-for-six reverse stock split of our Common Stock pursuant to which stockholders received one share of our Common Stock for every six shares of our Common Stock previously held by them. Unless the context otherwise requires, all share and per share amounts presented herein have been adjusted to reflect the reverse stock split.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August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890"/>
        <w:gridCol w:w="245"/>
      </w:tblGrid>
      <w:tr>
        <w:trPr/>
        <w:tc>
          <w:tcPr>
            <w:tcW w:w="6890"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90" w:type="dxa"/>
            <w:tcBorders/>
            <w:shd w:fill="FFFF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890"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OFFERING SUMMARY</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90" w:type="dxa"/>
            <w:tcBorders/>
            <w:shd w:fill="FFFF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90"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90" w:type="dxa"/>
            <w:tcBorders/>
            <w:shd w:fill="FFFFFF" w:val="clear"/>
            <w:vAlign w:val="center"/>
          </w:tcPr>
          <w:p>
            <w:pPr>
              <w:pStyle w:val="TableContents"/>
              <w:bidi w:val="0"/>
              <w:spacing w:before="0" w:after="283"/>
              <w:jc w:val="left"/>
              <w:rPr/>
            </w:pPr>
            <w:hyperlink w:anchor="Y-006">
              <w:r>
                <w:rPr>
                  <w:rStyle w:val="InternetLink"/>
                  <w:rFonts w:ascii="Times New Roman;Times;Serif" w:hAnsi="Times New Roman;Times;Serif"/>
                  <w:b w:val="false"/>
                  <w:i w:val="false"/>
                  <w:caps w:val="false"/>
                  <w:smallCaps w:val="false"/>
                  <w:sz w:val="20"/>
                </w:rPr>
                <w:t>THE JULY 2026 PIPE TRANSACTION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90" w:type="dxa"/>
            <w:tcBorders/>
            <w:shd w:fill="CCEEFF" w:val="clear"/>
            <w:vAlign w:val="center"/>
          </w:tcPr>
          <w:p>
            <w:pPr>
              <w:pStyle w:val="TableContents"/>
              <w:bidi w:val="0"/>
              <w:spacing w:before="0" w:after="283"/>
              <w:jc w:val="left"/>
              <w:rPr/>
            </w:pPr>
            <w:hyperlink w:anchor="Y-007">
              <w:r>
                <w:rPr>
                  <w:rStyle w:val="InternetLink"/>
                  <w:rFonts w:ascii="Times New Roman;Times;Serif" w:hAnsi="Times New Roman;Times;Serif"/>
                  <w:b w:val="false"/>
                  <w:i w:val="false"/>
                  <w:caps w:val="false"/>
                  <w:smallCaps w:val="false"/>
                  <w:sz w:val="20"/>
                </w:rPr>
                <w:t>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90" w:type="dxa"/>
            <w:tcBorders/>
            <w:shd w:fill="FFFFFF" w:val="clear"/>
            <w:vAlign w:val="center"/>
          </w:tcPr>
          <w:p>
            <w:pPr>
              <w:pStyle w:val="TableContents"/>
              <w:bidi w:val="0"/>
              <w:spacing w:before="0" w:after="283"/>
              <w:jc w:val="left"/>
              <w:rPr/>
            </w:pPr>
            <w:hyperlink w:anchor="mpo_001">
              <w:r>
                <w:rPr>
                  <w:rStyle w:val="InternetLink"/>
                  <w:rFonts w:ascii="Times New Roman;Times;Serif" w:hAnsi="Times New Roman;Times;Serif"/>
                  <w:b w:val="false"/>
                  <w:i w:val="false"/>
                  <w:caps w:val="false"/>
                  <w:smallCaps w:val="false"/>
                  <w:sz w:val="20"/>
                </w:rPr>
                <w:t>MARKET PRICE OF OUR COMMON STOCK AND DIVIDEND INFORMATION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90" w:type="dxa"/>
            <w:tcBorders/>
            <w:shd w:fill="CCEEFF" w:val="clear"/>
            <w:vAlign w:val="center"/>
          </w:tcPr>
          <w:p>
            <w:pPr>
              <w:pStyle w:val="TableContents"/>
              <w:bidi w:val="0"/>
              <w:spacing w:before="0" w:after="283"/>
              <w:jc w:val="left"/>
              <w:rPr/>
            </w:pPr>
            <w:hyperlink w:anchor="Y-008">
              <w:r>
                <w:rPr>
                  <w:rStyle w:val="InternetLink"/>
                  <w:rFonts w:ascii="Times New Roman;Times;Serif" w:hAnsi="Times New Roman;Times;Serif"/>
                  <w:b w:val="false"/>
                  <w:i w:val="false"/>
                  <w:caps w:val="false"/>
                  <w:smallCaps w:val="false"/>
                  <w:sz w:val="20"/>
                </w:rPr>
                <w:t>BENEFICIAL OWNERSHIP OF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90" w:type="dxa"/>
            <w:tcBorders/>
            <w:shd w:fill="FFFFFF" w:val="clear"/>
            <w:vAlign w:val="center"/>
          </w:tcPr>
          <w:p>
            <w:pPr>
              <w:pStyle w:val="TableContents"/>
              <w:bidi w:val="0"/>
              <w:spacing w:before="0" w:after="283"/>
              <w:jc w:val="left"/>
              <w:rPr/>
            </w:pPr>
            <w:hyperlink w:anchor="Y-009">
              <w:r>
                <w:rPr>
                  <w:rStyle w:val="InternetLink"/>
                  <w:rFonts w:ascii="Times New Roman;Times;Serif" w:hAnsi="Times New Roman;Times;Serif"/>
                  <w:b w:val="false"/>
                  <w:i w:val="false"/>
                  <w:caps w:val="false"/>
                  <w:smallCaps w:val="false"/>
                  <w:sz w:val="20"/>
                </w:rPr>
                <w:t>SELLING STOCKHOLDERS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890" w:type="dxa"/>
            <w:tcBorders/>
            <w:shd w:fill="CCEEFF" w:val="clear"/>
            <w:vAlign w:val="center"/>
          </w:tcPr>
          <w:p>
            <w:pPr>
              <w:pStyle w:val="TableContents"/>
              <w:bidi w:val="0"/>
              <w:spacing w:before="0" w:after="283"/>
              <w:jc w:val="left"/>
              <w:rPr/>
            </w:pPr>
            <w:hyperlink w:anchor="Y-010">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890" w:type="dxa"/>
            <w:tcBorders/>
            <w:shd w:fill="FFFFFF" w:val="clear"/>
            <w:vAlign w:val="center"/>
          </w:tcPr>
          <w:p>
            <w:pPr>
              <w:pStyle w:val="TableContents"/>
              <w:bidi w:val="0"/>
              <w:spacing w:before="0" w:after="283"/>
              <w:jc w:val="left"/>
              <w:rPr/>
            </w:pPr>
            <w:hyperlink w:anchor="m_001">
              <w:r>
                <w:rPr>
                  <w:rStyle w:val="InternetLink"/>
                  <w:rFonts w:ascii="Times New Roman;Times;Serif" w:hAnsi="Times New Roman;Times;Serif"/>
                  <w:b w:val="false"/>
                  <w:i w:val="false"/>
                  <w:caps w:val="false"/>
                  <w:smallCaps w:val="false"/>
                  <w:sz w:val="20"/>
                </w:rPr>
                <w:t>DESCRIPTION OF OUR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90" w:type="dxa"/>
            <w:tcBorders/>
            <w:shd w:fill="CCEEFF" w:val="clear"/>
            <w:vAlign w:val="center"/>
          </w:tcPr>
          <w:p>
            <w:pPr>
              <w:pStyle w:val="TableContents"/>
              <w:bidi w:val="0"/>
              <w:spacing w:before="0" w:after="283"/>
              <w:jc w:val="left"/>
              <w:rPr/>
            </w:pPr>
            <w:hyperlink w:anchor="m_002">
              <w:r>
                <w:rPr>
                  <w:rStyle w:val="InternetLink"/>
                  <w:rFonts w:ascii="Times New Roman;Times;Serif" w:hAnsi="Times New Roman;Times;Serif"/>
                  <w:b w:val="false"/>
                  <w:i w:val="false"/>
                  <w:caps w:val="false"/>
                  <w:smallCaps w:val="false"/>
                  <w:sz w:val="20"/>
                </w:rPr>
                <w:t>SECURITIES ACT RESTRICTIONS ON RESALE OF COMMON STOCK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890" w:type="dxa"/>
            <w:tcBorders/>
            <w:shd w:fill="FFFFFF" w:val="clear"/>
            <w:vAlign w:val="center"/>
          </w:tcPr>
          <w:p>
            <w:pPr>
              <w:pStyle w:val="TableContents"/>
              <w:bidi w:val="0"/>
              <w:spacing w:before="0" w:after="283"/>
              <w:jc w:val="left"/>
              <w:rPr/>
            </w:pPr>
            <w:hyperlink w:anchor="m_003">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890" w:type="dxa"/>
            <w:tcBorders/>
            <w:shd w:fill="CCEEFF" w:val="clear"/>
            <w:vAlign w:val="center"/>
          </w:tcPr>
          <w:p>
            <w:pPr>
              <w:pStyle w:val="TableContents"/>
              <w:bidi w:val="0"/>
              <w:spacing w:before="0" w:after="283"/>
              <w:jc w:val="left"/>
              <w:rPr/>
            </w:pPr>
            <w:hyperlink w:anchor="m_004">
              <w:r>
                <w:rPr>
                  <w:rStyle w:val="InternetLink"/>
                  <w:rFonts w:ascii="Times New Roman;Times;Serif" w:hAnsi="Times New Roman;Times;Serif"/>
                  <w:b w:val="false"/>
                  <w:i w:val="false"/>
                  <w:caps w:val="false"/>
                  <w:smallCaps w:val="false"/>
                  <w:sz w:val="20"/>
                </w:rPr>
                <w:t>LEGAL MATTERS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890" w:type="dxa"/>
            <w:tcBorders/>
            <w:shd w:fill="FFFFFF" w:val="clear"/>
            <w:vAlign w:val="center"/>
          </w:tcPr>
          <w:p>
            <w:pPr>
              <w:pStyle w:val="TableContents"/>
              <w:bidi w:val="0"/>
              <w:spacing w:before="0" w:after="283"/>
              <w:jc w:val="left"/>
              <w:rPr/>
            </w:pPr>
            <w:hyperlink w:anchor="m_005">
              <w:r>
                <w:rPr>
                  <w:rStyle w:val="InternetLink"/>
                  <w:rFonts w:ascii="Times New Roman;Times;Serif" w:hAnsi="Times New Roman;Times;Serif"/>
                  <w:b w:val="false"/>
                  <w:i w:val="false"/>
                  <w:caps w:val="false"/>
                  <w:smallCaps w:val="false"/>
                  <w:sz w:val="20"/>
                </w:rPr>
                <w:t>EXPERTS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890" w:type="dxa"/>
            <w:tcBorders/>
            <w:shd w:fill="CCEEFF" w:val="clear"/>
            <w:vAlign w:val="center"/>
          </w:tcPr>
          <w:p>
            <w:pPr>
              <w:pStyle w:val="TableContents"/>
              <w:bidi w:val="0"/>
              <w:spacing w:before="0" w:after="283"/>
              <w:jc w:val="left"/>
              <w:rPr/>
            </w:pPr>
            <w:hyperlink w:anchor="m_006">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890" w:type="dxa"/>
            <w:tcBorders/>
            <w:shd w:fill="FFFFFF" w:val="clear"/>
            <w:vAlign w:val="center"/>
          </w:tcPr>
          <w:p>
            <w:pPr>
              <w:pStyle w:val="TableContents"/>
              <w:bidi w:val="0"/>
              <w:spacing w:before="0" w:after="283"/>
              <w:jc w:val="left"/>
              <w:rPr/>
            </w:pPr>
            <w:hyperlink w:anchor="m_007">
              <w:r>
                <w:rPr>
                  <w:rStyle w:val="InternetLink"/>
                  <w:rFonts w:ascii="Times New Roman;Times;Serif" w:hAnsi="Times New Roman;Times;Serif"/>
                  <w:b w:val="false"/>
                  <w:i w:val="false"/>
                  <w:caps w:val="false"/>
                  <w:smallCaps w:val="false"/>
                  <w:sz w:val="20"/>
                </w:rPr>
                <w:t>INCORPORATION OF CERTAIN DOCUMENTS BY REFERENCE</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registration statement containing this prospectus, including the exhibits to the registration statement, provides additional information about us and the securities offered under this prospectus. The registration statement, including the exhibits, can be read on our website and the website of the Securities and Exchange Commission. See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in, and that can be accessed through our web site, www.hcwbiologics.com shall not be deemed to be part of this prospectus or incorporated herein by reference and should not be relied upon by any prospective investors for the purposes of determining whether to purchase the shares offered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the terms “we,” “us,” “our,” the “Company,” “HCW Biologics,” “HCWB,” and “our business” refer to HCW Biologics Inc. and “this offering” refers to the offering contemplated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securities offered hereby, but only under the circumstances and in jurisdictions where it is lawful to do so. The information contained in this prospectus or in any applicable free writing prospectus is current only as of its date, regardless of its time of delivery or any sale of securities hereunder. Our business, financial condition, results of operations and prospects may have changed since that date. We are not, and the selling stockholders are not, making an offer of these securities in any jurisdiction where such offer is not permitted.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Y-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manner in which the selling stockholders identified in this prospectus may offer, from time to time, (1) shares of our Common Stock issued in connection with our private placement transaction consummated on July 29, 2026 (the “July 2026 PIPE Transaction”), (2) shares of our Common Stock issuable upon the exercise of Pre-Funded Warrants issued in the July 2026 PIPE Transaction, and (3) shares of our Common Stock issuable upon the exercise of the July 2026 Common Warrants to be issued following stockholder approval pursuant to the terms of the July 2026 PIPE Transaction, in each case as described below. We are not selling any securities under this prospectus and will not receive any proceeds from the sale of shares of our Common Stock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This prospectus provides you with general information regarding the securities being offered by the selling stockholders. You should read this prospectus as well as the additional information described under the headings “Information Incorporated by Reference” and “Where You Can Find More Information”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has been authorized to give any information or to make any representations other than those contained in this prospectus in connection with the offering made hereby, and if given or made, such information or representations must not be relied upon as having been authorized by us, the selling stockholders or by any other person. Neither the delivery of this prospectus nor any sale made hereunder shall, under any circumstances, create any implication that information herein is correct as of any time subsequent to the date hereof. This prospectus does not constitute an offer to sell or a solicitation of an offer to buy any security other than the securities covered by this prospectus, nor does it constitute an offer to or solicitation of any person in any jurisdiction in which such offer or solicitation may not lawfully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may only be used where it is legal to sell these securities. The information contained in this prospectus (and in any supplement or amendment to this prospectus) is accurate only as of the date on the front of the document, and any information we have incorporated by reference is accurate only as of the date of the document incorporated by reference, regardless of the time of delivery of this prospectus or any sale of our securities.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“selling stockholders” refers to the security holders identified herein in the section titled “Selling Stockholders” beginning on page 17 of this prospectus, who may sell securities from time to time as described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information contained in or incorporated by reference into this prospectus concerning our business and the industry and markets in which we operate, including with respect to our business prospects, our market position and opportunity, and the competitive landscape, is based on information from our management’s estimates, as well as from industry publications, surveys, and studies conducted by third parties. Our management’s estimates are derived from publicly available information, their knowledge of our business and industry, and assumptions based on such information and knowledge, which they believe to be reasonable. In addition, while we believe that information contained in industry publications, surveys, and studies has been obtained from reliable sources, we have not independently verified any of the data contained in these third-party sources, and the accuracy and completeness of the information contained in these sources is not guaranteed.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in this prospectus and any related free writing prospectus, and under similar headings in the other documents that are incorporated by reference into this prospectus, including in our Annual Report on Form 10-K for the year ended December 31, 2025, filed with the Securities and Exchange Commission (the “SEC”) on March 31, 2026, and our Restated Quarterly Report on Form 10-Q/A for the three months ended March 31, 2026, filed with the SEC on August 14,2026, and the Quarterly Report for the three- and six- month periods ended June 30, 2026, filed with the SEC on August 14, 2026.</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Y-002"/>
      <w:bookmarkEnd w:id="3"/>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SEC allows us to “incorporate by reference” certain information that we file with the SEC, which means that we can disclose important information to you by referring you to those documents. The information incorporated by reference is considered to be part of this prospectus, and information that we file later with the SEC will update automatically, supplement and/or supersede the information disclosed in this prospectus. Any statement contained in a document incorporated or deemed to be incorporated by reference in this prospectus shall be deemed to be modified or superseded for purposes of this prospectus to the extent that a statement contained in this prospectus or in any other document that also is or is deemed to be incorporated by reference in this prospectus modifies or supersedes such statement. Any such statement so modified or superseded shall not be deemed, except as so modified or superseded, to constitute a part of this prospectus. You should read the following summary together with the more detailed information regarding our company, our securities and our financial statements and notes to those statements included in this prospectus. This summary highlights selected information contained elsewhere or incorporated by reference in this prospectus. This summary may not contain all the information that you should consider before determining whether to invest in our securities. You should read the entire prospectus carefully, including the information included in the “Risk Factors” section, as well as our financial statements, notes to the financial statements and the other information included or incorporated by reference in this prospectus,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 (“HCW Biologics” or the “Company”) is a clinical-stage biopharmaceutical company developing transformative fusion immunotherapeutics to treat diseases promoted by chronic inflammation. We have created novel compounds that represent a new class of drugs that we believe have the potential to fundamentally change the treatment of autoimmune disorders and other proinflammatory diseases, cancer and senescence-associated dysplasia. In addition, we have begun commercialization of certain commercial-ready proprietary compounds for use as reagents to support the production of immunotherapeutics for the treatment of infectious diseases and cancer. We want our products to improve patients’ healthspan as well as their quality of life, and possibly extend longevity.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inflammation is believed to be a significant contributing factor to the cause for many diseases and conditions that diminish health span and quality of life. The induction and retention of low-grade inflammation in the human body is mainly the result of persistent activation of immune cells and the accumulation of non-proliferative but metabolically active senescent cells.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has an experienced team led by Dr. Hing C. Wong, our Founder and CEO, who discovered and developed the immunotherapeutic Anktiva® (also known as ALT-803, an IL-15 receptor agonist) through pivotal trials. This blockbuster immunotherapeutic treatment for cancer was sold to ImmunityBio, Inc. in 2017 in a $1.0 billion acquisition. In April 2024, Anktiva® was approved by the U.S. Food and Drug Administration for its first indication, the treatment of BCG-Unresponsive Non-Muscle Invasive Bladder Cancer in combination with BCG.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Lead Product Candidates in Clinical Development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HCW9302 is a clinical-stage compound that is an injectable, first-in-kind interleukin 2 (“IL-2”) fusion protein complex constructed using the Company’s proprietary TOBI platform technology. Its mechanism of action involves binding to IL-2αβγ receptors predominantly expressed on regulatory T (“T</w:t>
            </w:r>
            <w:r>
              <w:rPr>
                <w:rFonts w:ascii="Times New Roman;Times;Serif" w:hAnsi="Times New Roman;Times;Serif"/>
                <w:b w:val="false"/>
                <w:i w:val="false"/>
                <w:caps w:val="false"/>
                <w:smallCaps w:val="false"/>
                <w:position w:val="-2"/>
                <w:sz w:val="16"/>
                <w:sz w:val="20"/>
              </w:rPr>
              <w:t>reg</w:t>
            </w:r>
            <w:r>
              <w:rPr>
                <w:rFonts w:ascii="Times New Roman;Times;Serif" w:hAnsi="Times New Roman;Times;Serif"/>
                <w:b w:val="false"/>
                <w:i w:val="false"/>
                <w:caps w:val="false"/>
                <w:smallCaps w:val="false"/>
                <w:sz w:val="20"/>
              </w:rPr>
              <w:t>”) cells, thereby activating and expanding T</w:t>
            </w:r>
            <w:r>
              <w:rPr>
                <w:rFonts w:ascii="Times New Roman;Times;Serif" w:hAnsi="Times New Roman;Times;Serif"/>
                <w:b w:val="false"/>
                <w:i w:val="false"/>
                <w:caps w:val="false"/>
                <w:smallCaps w:val="false"/>
                <w:position w:val="-2"/>
                <w:sz w:val="16"/>
                <w:sz w:val="20"/>
              </w:rPr>
              <w:t>reg</w:t>
            </w:r>
            <w:r>
              <w:rPr>
                <w:rFonts w:ascii="Times New Roman;Times;Serif" w:hAnsi="Times New Roman;Times;Serif"/>
                <w:b w:val="false"/>
                <w:i w:val="false"/>
                <w:caps w:val="false"/>
                <w:smallCaps w:val="false"/>
                <w:sz w:val="20"/>
              </w:rPr>
              <w:t xml:space="preserve"> cells that can suppress unwanted immune and inflammatory responses. HCW9302 is currently being evaluated in patients with alopecia areata (NCT07049328). On June 16, 2026, we announced a preliminary data readout from the first two dose cohorts of this Phase 1 clinical trial. According to the preliminary data, HCW9302 was generally well tolerated, with no dose-limiting toxicities reported, and patients in the second dose cohort demonstrated preliminary signs of clinical activity. Enrollment and dose escalation in the trial are ongoing. The Company has not reported any dose-limiting toxicities. A full Phase 1 readout is expected to be made in the fourth quarter of 2026. </w:t>
            </w:r>
          </w:p>
        </w:tc>
      </w:tr>
    </w:tbl>
    <w:p>
      <w:pPr>
        <w:pStyle w:val="TextBody"/>
        <w:bidi w:val="0"/>
        <w:spacing w:before="0" w:after="0"/>
        <w:ind w:left="979"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97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HCW11-018b is an investigational tetravalent T-cell engager developed by HCW Biologics to treat solid tumors. The Company requested a Type B pre-IND meeting with the U.S. Food and Drug Administration in July 2026 to discuss clinical development strategies, in preparation for the planned initiation of a Phase 1 clinical trial in solid tumors in the first half of 2027.</w:t>
            </w:r>
          </w:p>
        </w:tc>
      </w:tr>
    </w:tbl>
    <w:p>
      <w:pPr>
        <w:pStyle w:val="TextBody"/>
        <w:bidi w:val="0"/>
        <w:spacing w:before="0" w:after="0"/>
        <w:ind w:left="97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HCW11-040 is an investigational molecule that is a unique combination of cytokines and pembrolizumab, a generic form of Keytruda®, in a multi-functional fusion molecule. This lead product candidate exhibits the ability to expand Tpex cells without a cytokine storm in preclinical studies. In addition, it exhibits superior immune-cell activation, expansion, and cytotoxicity against cancer cells and tumors when compared to pembrolizumab in in-vitro and in-vivo studies. The Company plans to initiate a Phase 1 clinical study in a senescence-associated dysplasia indication in the second half of 2027. </w:t>
            </w:r>
          </w:p>
        </w:tc>
      </w:tr>
    </w:tbl>
    <w:p>
      <w:pPr>
        <w:pStyle w:val="TextBody"/>
        <w:bidi w:val="0"/>
        <w:spacing w:before="0" w:after="0"/>
        <w:ind w:left="979"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Commercial-Ready Reagents for Production of Immunotherapeutic Treatments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HCW9206 is a proprietary fusion protein designed as a reagent to use in the production of CAR-therapies for the treatment of infectious diseases, including HIV, and cancer. HCW9206 is a novel class of immunotherapeutic that enables a single molecule to deliver synergistic signals from three different immune-stimulatory cytokines. The Company plans to commercialize this through a corporate partnership with a biopharmaceutical manufacturing company in the second half of 2026. </w:t>
            </w:r>
          </w:p>
        </w:tc>
      </w:tr>
    </w:tbl>
    <w:p>
      <w:pPr>
        <w:pStyle w:val="TextBody"/>
        <w:bidi w:val="0"/>
        <w:spacing w:before="0" w:after="0"/>
        <w:ind w:left="97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HCW9201 is a proprietary fusion protein designed as a reagent to use in the production of Natural Killer (“NK”) cell-based therapies. It is a unique cytokine-induced memory-like phenotype that supports enhanced anti-tumor activity, robust trafficking, superior proliferation capacity, and metabolic flexibility, all of which contribute to treatment resilience in the adverse tumor microenvironment.</w:t>
            </w:r>
          </w:p>
        </w:tc>
      </w:tr>
    </w:tbl>
    <w:p>
      <w:pPr>
        <w:pStyle w:val="TextBody"/>
        <w:bidi w:val="0"/>
        <w:spacing w:before="0" w:after="0"/>
        <w:ind w:left="979"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time the Company effected its initial public offering, in July 2021, we have qualified as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remain an emerging growth company until December 31, 2026 (the last day of the fiscal year following the fifth anniversary of the consummation of our initial public offering). References herein to “emerging growth company” shall have the meaning associated with that term in the JOBS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2929 N Commerce Parkway, Miramar, FL 33025, and our telephone number is (954) 842-2024. Our website address is www.hcwbiologics.com. Information on or accessed through our website is not incorporated into and not part of this prospectus.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Y-003"/>
      <w:bookmarkEnd w:id="4"/>
      <w:r>
        <w:rPr>
          <w:rFonts w:ascii="Times New Roman;Times;Serif" w:hAnsi="Times New Roman;Times;Serif"/>
          <w:b/>
          <w:i w:val="false"/>
          <w:caps w:val="false"/>
          <w:smallCaps w:val="false"/>
          <w:sz w:val="20"/>
        </w:rPr>
        <w:t>OFFERING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by the selling stockholders identified herein of up to 1,237,364 shares of our Common Stock, which consist of shares of our Common Stock issued in connection with our private placement transaction consummated on July 29, 2026 (the “July 2026 PIPE Transaction”) and shares of our Common Stock issuable upon exercise of the Pre-Funded Warrants and the Common Warrants that may be issued pursuant to the July 2026 PIPE Transaction following stockholder approval.</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5"/>
        <w:gridCol w:w="60"/>
        <w:gridCol w:w="81"/>
        <w:gridCol w:w="231"/>
        <w:gridCol w:w="8128"/>
      </w:tblGrid>
      <w:tr>
        <w:trPr/>
        <w:tc>
          <w:tcPr>
            <w:tcW w:w="170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Issuer: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0"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 Biologics Inc. </w:t>
            </w:r>
          </w:p>
        </w:tc>
      </w:tr>
      <w:tr>
        <w:trPr/>
        <w:tc>
          <w:tcPr>
            <w:tcW w:w="17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81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of Common Stock to be Issued by Us: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0"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1,018,682 shares of our Common Stock, consisting of (i) 400,000 shares issuable upon exercise of the Pre-Funded Warrants and (ii) 618,682 shares issuable upon exercise of the Common Warrants, which Common Warrants are issuable only upon, and subject to, stockholder approval pursuant to the terms of the July 2026 PIPE Transaction. There are 218,682 Shares already issued at closing which are outstanding and are being registered for resale in this registration statement as well. No shares are being issued by the Company in connection with this registration statement.</w:t>
            </w:r>
          </w:p>
        </w:tc>
      </w:tr>
      <w:tr>
        <w:trPr/>
        <w:tc>
          <w:tcPr>
            <w:tcW w:w="17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81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of Common Stock outstanding as of the date of this prospectus</w:t>
            </w:r>
            <w:r>
              <w:rPr>
                <w:rFonts w:ascii="Times New Roman;Times;Serif" w:hAnsi="Times New Roman;Times;Serif"/>
                <w:b/>
                <w:i/>
                <w:caps w:val="false"/>
                <w:smallCaps w:val="false"/>
                <w:position w:val="7"/>
                <w:sz w:val="16"/>
                <w:sz w:val="20"/>
              </w:rPr>
              <w:t>(1)</w:t>
            </w:r>
            <w:r>
              <w:rPr>
                <w:rFonts w:ascii="Times New Roman;Times;Serif" w:hAnsi="Times New Roman;Times;Serif"/>
                <w:b/>
                <w:i/>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0"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2,855,006 shares of Common Stock (including 1,836,324 shares of Common Stock outstanding on August 20, 2026, including 218,682 Shares issued on the Closing Date, up to 400,000 Shares issuable upon exercise of Pre-Funded Warrants and up to 618,682 Shares issuable upon exercise of Common Warrants).</w:t>
            </w:r>
          </w:p>
        </w:tc>
      </w:tr>
      <w:tr>
        <w:trPr/>
        <w:tc>
          <w:tcPr>
            <w:tcW w:w="17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81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Resale of 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0"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81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of Common Stock Offered by the Selling Stockholders</w:t>
            </w:r>
            <w:r>
              <w:rPr>
                <w:rFonts w:ascii="Times New Roman;Times;Serif" w:hAnsi="Times New Roman;Times;Serif"/>
                <w:b/>
                <w:i/>
                <w:caps w:val="false"/>
                <w:smallCaps w:val="false"/>
                <w:position w:val="7"/>
                <w:sz w:val="16"/>
                <w:sz w:val="20"/>
              </w:rPr>
              <w:t>(1)</w:t>
            </w:r>
            <w:r>
              <w:rPr>
                <w:rFonts w:ascii="Times New Roman;Times;Serif" w:hAnsi="Times New Roman;Times;Serif"/>
                <w:b/>
                <w:i/>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0"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are offering up to an aggregate of 1,237,364 shares of our Common Stock, consisting of:</w:t>
            </w:r>
          </w:p>
        </w:tc>
      </w:tr>
      <w:tr>
        <w:trPr/>
        <w:tc>
          <w:tcPr>
            <w:tcW w:w="17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0"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w:t>
            </w:r>
          </w:p>
        </w:tc>
        <w:tc>
          <w:tcPr>
            <w:tcW w:w="81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218,682 Shares;</w:t>
            </w:r>
          </w:p>
        </w:tc>
      </w:tr>
      <w:tr>
        <w:trPr/>
        <w:tc>
          <w:tcPr>
            <w:tcW w:w="17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81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w:t>
            </w:r>
          </w:p>
        </w:tc>
        <w:tc>
          <w:tcPr>
            <w:tcW w:w="81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400,000 shares of our Common Stock issuable upon exercise of the Pre-Funded Warrants; and</w:t>
            </w:r>
          </w:p>
        </w:tc>
      </w:tr>
      <w:tr>
        <w:trPr/>
        <w:tc>
          <w:tcPr>
            <w:tcW w:w="17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81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w:t>
            </w:r>
          </w:p>
        </w:tc>
        <w:tc>
          <w:tcPr>
            <w:tcW w:w="81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618,682 shares of our Common Stock issuable upon exercise of the Common Warrants that may be issued following stockholder approval pursuant to the July 2026 PIPE Transaction.</w:t>
            </w:r>
          </w:p>
        </w:tc>
      </w:tr>
      <w:tr>
        <w:trPr/>
        <w:tc>
          <w:tcPr>
            <w:tcW w:w="17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81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of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0"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selling stockholders may sell the shares from time to time at prevailing market prices or at negotiated prices. See “Plan of Distribution.” </w:t>
            </w:r>
          </w:p>
        </w:tc>
      </w:tr>
      <w:tr>
        <w:trPr/>
        <w:tc>
          <w:tcPr>
            <w:tcW w:w="17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both"/>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81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Use of Proceeds: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0"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any sale of shares of our Common Stock by the selling stockholders. However, we may receive gross proceeds of up to approximately $1.6 million from the cash exercise of the Common Warrants (based on an exercise price of $2.585 per share), assuming the requisite stockholder approval is obtained, the Common Warrants are issued and the Common Warrants are exercised in full for cash. We do not expect to receive material proceeds from the exercise of the Pre-Funded Warrants, which have a nominal exercise price. We intend to use any proceeds from the exercise of the Common Warrants for general corporate purposes, which may include funding our clinical and preclinical development programs, research and development expenses, working capital and other general corporate purposes.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26"/>
        <w:gridCol w:w="60"/>
        <w:gridCol w:w="2706"/>
        <w:gridCol w:w="2706"/>
        <w:gridCol w:w="3407"/>
      </w:tblGrid>
      <w:tr>
        <w:trPr/>
        <w:tc>
          <w:tcPr>
            <w:tcW w:w="1326"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Risk Factors: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9"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Investing in our securities involves a high degree of risk. You should review carefully the risks and uncertainties described under the heading “Risk Factors” beginning on page 8 of this prospectus. </w:t>
            </w:r>
          </w:p>
        </w:tc>
      </w:tr>
      <w:tr>
        <w:trPr/>
        <w:tc>
          <w:tcPr>
            <w:tcW w:w="13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9"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1326"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Transfer Agent: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9"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transfer agent and registrar for our Common Stock is Equiniti Trust Company, LLC. </w:t>
            </w:r>
          </w:p>
        </w:tc>
      </w:tr>
      <w:tr>
        <w:trPr/>
        <w:tc>
          <w:tcPr>
            <w:tcW w:w="13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6" w:type="dxa"/>
            <w:tcBorders/>
            <w:vAlign w:val="center"/>
          </w:tcPr>
          <w:p>
            <w:pPr>
              <w:pStyle w:val="TableContents"/>
              <w:bidi w:val="0"/>
              <w:spacing w:before="0" w:after="283"/>
              <w:jc w:val="both"/>
              <w:rPr>
                <w:caps w:val="false"/>
                <w:smallCaps w:val="false"/>
              </w:rPr>
            </w:pPr>
            <w:r>
              <w:rPr>
                <w:caps w:val="false"/>
                <w:smallCaps w:val="false"/>
              </w:rPr>
              <w:t> </w:t>
            </w:r>
          </w:p>
        </w:tc>
        <w:tc>
          <w:tcPr>
            <w:tcW w:w="2706" w:type="dxa"/>
            <w:tcBorders/>
            <w:vAlign w:val="center"/>
          </w:tcPr>
          <w:p>
            <w:pPr>
              <w:pStyle w:val="TableContents"/>
              <w:bidi w:val="0"/>
              <w:spacing w:before="0" w:after="283"/>
              <w:jc w:val="both"/>
              <w:rPr>
                <w:caps w:val="false"/>
                <w:smallCaps w:val="false"/>
              </w:rPr>
            </w:pPr>
            <w:r>
              <w:rPr>
                <w:caps w:val="false"/>
                <w:smallCaps w:val="false"/>
              </w:rPr>
              <w:t> </w:t>
            </w:r>
          </w:p>
        </w:tc>
        <w:tc>
          <w:tcPr>
            <w:tcW w:w="34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26"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Nasdaq Symbol: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9"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“HCWB”. There is no established trading market for the Pre-Funded Warrants, and we do not expect a trading market to develop. We do not intend to list the Pre-Funded Warrants on any securities exchange or other trading market. Without a trading market, the liquidity of the Pre-Funded Warrants will be extremely limited.</w:t>
            </w:r>
          </w:p>
        </w:tc>
      </w:tr>
      <w:tr>
        <w:trPr/>
        <w:tc>
          <w:tcPr>
            <w:tcW w:w="13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6" w:type="dxa"/>
            <w:tcBorders/>
            <w:vAlign w:val="center"/>
          </w:tcPr>
          <w:p>
            <w:pPr>
              <w:pStyle w:val="TableContents"/>
              <w:bidi w:val="0"/>
              <w:spacing w:before="0" w:after="283"/>
              <w:jc w:val="both"/>
              <w:rPr>
                <w:caps w:val="false"/>
                <w:smallCaps w:val="false"/>
              </w:rPr>
            </w:pPr>
            <w:r>
              <w:rPr>
                <w:caps w:val="false"/>
                <w:smallCaps w:val="false"/>
              </w:rPr>
              <w:t> </w:t>
            </w:r>
          </w:p>
        </w:tc>
        <w:tc>
          <w:tcPr>
            <w:tcW w:w="2706" w:type="dxa"/>
            <w:tcBorders/>
            <w:vAlign w:val="center"/>
          </w:tcPr>
          <w:p>
            <w:pPr>
              <w:pStyle w:val="TableContents"/>
              <w:bidi w:val="0"/>
              <w:spacing w:before="0" w:after="283"/>
              <w:jc w:val="both"/>
              <w:rPr>
                <w:caps w:val="false"/>
                <w:smallCaps w:val="false"/>
              </w:rPr>
            </w:pPr>
            <w:r>
              <w:rPr>
                <w:caps w:val="false"/>
                <w:smallCaps w:val="false"/>
              </w:rPr>
              <w:t> </w:t>
            </w:r>
          </w:p>
        </w:tc>
        <w:tc>
          <w:tcPr>
            <w:tcW w:w="34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26"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 to Outstanding 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9"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entered into in connection with the July 2026 PIPE Transaction, the Investors are entitled to receive Common Warrants exercisable for up to 618,682 shares of our Common Stock. The issuance of the Common Warrants is subject to stockholder approval required under Nasdaq Listing Rule 5635(d), which approval we are obligated to seek pursuant to the terms of the Securities Purchase Agreement. There can be no assurance that stockholder approval will be obtained or, if obtained, when such approval will occur. If stockholder approval is not obtained, the Common Warrants will not be issued and the 618,682 shares of Common Stock underlying the Common Warrants will not become issuable.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outstanding is based on 1,836,324 shares outstanding as of August 17, 2026, including 218,682 shares issued in connection with the July 2026 PIPE Transaction. The number excludes the following:</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which may be exercised to purchase up to 400,000 shares of Common Stock for $0.0001 per share, issued in connection with the July 2026 PIPE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2026 Common Warrants which may be exercised to purchase up to 474,496 shares of Common Stock for $7.68 per share, issued in connection with the May 2026 PIPE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21,099 shares issuable upon the exercise of outstanding warrants exercisable at $156.00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916,284 shares issuable upon the exercise of outstanding warrants for $3.633 per share, including warrants to exercise up to 412,882 shares of Common Stock issued on February 19, 2026 and warrants to exercise up to 503,402 shares of Common Stock issued on November 20,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 July Common Warrants which may be exercised to purchase up to 618,682 shares of Common Stock for $2.585 per share, subject to stockholder approval pursuant to Nasdaq Listing Rule 5635(d);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7,160 shares issuable upon the exercise stock options of vested employee equity awards under the 2019 Equity Incentive Plan (“2019 Plan”) and the 2021 Equity Incentive Plan (“2021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 shares for stock options underlying unvested employee equity awards under the 2019 Plan and 2021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15,550 shares reserved for issuance under our 2021 Plan;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valued up to $17.0 million, which may be issued through draws on our equity line of credit.</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Y-004"/>
      <w:bookmarkEnd w:id="5"/>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herein by reference contain forward-looking statements.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This includes, without limitation, statements regarding the financial position and the plans and objectives of management for our future operations. Such statements can be identified by the fact that they do not relate strictly to historical or current facts. When used in this prospectus,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in this prospectus and in any document incorporated by reference in this prospectus, including our Annual Report for the year ended December 31, 2025, filed on Form 10-K on March 31, 2026 (the “Annual Report”), and our Restated Quarterly Report for the three month period ended March 31, 2026, filed on Form 10-Q/A on August 14, 2026 and the Quarterly Report for the three and six month periods ended June 30, 2026, filed on Form 10-Q on August 14, 2026 (collectively, the “Quarterly Reports”), may include, for example, statements about: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going concern assessment;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event, change or other circumstances, including the outcome of any legal proceedings that may be instituted against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performance and the ability to remain compliant with the continued listing requirements of Nasdaq, maintain the listing of our securities on Nasdaq, and the potential liquidity and trading of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existing cash and cash equivalents to fund our future operating expenses and capital expenditure requirements and the risk of disruption to our current plans and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 including funding necessary to develop and commercialize our drug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costs and outcome of regulatory review, and impact on our ability to receive FDA clearance for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secure clinical sites, enroll patients, and initiate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trials needed to obtain clinical approval;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clinical trials to demonstrate safety and efficacy of our drug candidates, and other positive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and timing of our development activities, preclinical studies and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focus of our future clinical trials, and the reporting of data from those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relating to commercializing our drug candidates, if approved;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ability to establish sales, marketing and distribution infrastructure to commercialize any drug candidates for which we obtain approval;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scientific and clinical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contract with third-party suppliers and manufacturers and their ability to perform adequately;</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 parties to conduct clinical trials of our drug candidates, and for the manufacture of our drug candidates for preclinical studies and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our own manufacturing facilities domestically;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our drug candidates into additional indications and patient populations;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competing therapies that are or may become available;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characteristics, safety and efficacy of our drug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regulatory developments in the United States and other jurisdictions;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regulatory approval of our drug candidates, and any related restrictions, limitations and/or warnings in the label of any approved drug candidate;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relating to the further development and manufacturing of our drug candidates, including additional indications for which we may pursue;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maintaining, expanding, and enforcing our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ability to obtain or protect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protection we are able to establish and maintain for intellectual property rights covering our drug candidates and technology;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claims relating to our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litigation, regulatory inquiries, or investigations, as well as cost to indemnify our officers and directors against third-party claims related to our patents and other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and timing of buildout of our new headquarters, including a biologics manufacturing facility, including risks of balances due to general contractor and subcontractors, cost overruns and delays, and ability to obtain additional funding required to complete the project;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out-license agreements for the development and commercialization of the Company’s non-core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and timing of future commercialization activities, including product manufacturing, marketing, sales and distribution, for any of our product candidates for which we receive regulatory approval;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disclosed under the section entitled “Risk Factors” in this prospectus.</w:t>
            </w:r>
          </w:p>
        </w:tc>
      </w:tr>
    </w:tbl>
    <w:p>
      <w:pPr>
        <w:pStyle w:val="TextBody"/>
        <w:bidi w:val="0"/>
        <w:spacing w:before="0" w:after="0"/>
        <w:ind w:left="1101"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including those described in the section titled “Risk Factors” and elsewhere in this prospectus and the documents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that the future results, levels of activity, performance or events and circumstances reflected in the forward-looking statements will be achieved or occur. Accordingly, you should not place undue reliance on forward-looking statements as predictions of future events. We undertake no obligation to update publicly any forward-looking statements for any reason after the date of this prospectus to conform these statements to actual results or to changes in our expectations,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the documents incorporated by reference into this prospectus, any free writing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Y-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making an investment decision with respect to our securities, we urge you to carefully consider the risks described below and in the “Risk Factors” sections of our most recent Annual Report on Form 10-K for the fiscal year ended December 31, 2025, which is incorporated by reference in this prospectus, together with the information included in this prospectus and documents incorporated by reference herein, and in any free writing prospectus that we have authorized for use in connection with this offering. The risks and uncertainties incorporated by reference into this prospectus or described below are not the only ones we face. Additional risks and uncertainties not presently known or which we consider immaterial as of the date hereof may also materially harm our business and could result in a complete loss of your investment. If any of the matters discussed in the following risk factors were to occur, our business, financial condition, results of operations, cash flows, or prospects could be materially and adversely affected, the market price of our common stock could decline, as well as the value of the pre-funded warrants, and you could lose all or part of your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may be volatile or may decline regardless of our operating performance, resulting in substantial losses for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may be highly volatile and may fluctuate substantially as a result of a variety of factors, some of which are related in complex ways. The market price of our Common Stock may fluctuate significantly in response to numerous factors, many of which are beyond our control, including the factors described in this “Risk Factors” section and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and Nasdaq, and biopharmaceutical companies in particular, have experienced extreme price and volume fluctuations that have often been unrelated or disproportionate to the operating performance of these companies. Additionally, the trading prices for pharmaceutical, biopharmaceutical and biotechnology companies have been highly volatile. Also, broad market and industry factors may negatively affect the market price of our Common Stock, regardless of our actual operating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the steps we have taken to regain and maintain compliance with the Nasdaq continued listing rules will be adequate to remain listed on the Nasdaq Capital Market tier.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2025, we received formal notice from Nasdaq that we were in compliance with the Equity Rule for continued listing of our securities on the Nasdaq Capital Market tier. We were also notified that we will remain subject to a “Panel Monitor,” as that term is defined in Nasdaq Listing Rule 5815(d)(4)(B), for a period of one year from the date of the Nasdaq notice, through June 23, 2026. If, during the term of the Panel Monitor, we do not continue to remain in compliance with the Equity Rule, we will not be provided with the opportunity to submit a compliance plan for review by the Staff and must instead request a hearing before Nasdaq to address the deficiency, with such request staying any further action with respect to the listing of our securities on Nasdaq pending completion of the hearing process.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we received written notice from the Staff that as of June 30, 2025, we were non-compliant with the Equity Rule, so our securities would be suspended from trading on Nasdaq on August 28, 2025 unless we request a hearing by August 26, 2025. On August 26, 2025, we timely requested a hearing before the Panel, which stayed the suspension of trading of our securities on Nasdaq pending completion of the hearing process, which included a hearing held before the Panel on September 25, 2025 at which the Company presented a detailed compliance plan, including the filing of the registration statement that includes this prospectus and the offering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2025, the Panel granted the Company an extension of time in which to regain compliance with all continued listing rules of the Exchange. The Panel’s determination followed the Company’s hearing on September 25, 2025, at which the Company presented, and the Panel considered, the Company’s plan to regain compliance with the Equity Rule. The Panel granted the Company’s request for continued listing on the Nasdaq, subject to, among other things, the Company demonstrating compliance with the Equity Rule by December 31, 2025, and with all other Nasdaq continued listing rules by February 16, 2026. The Company was advised that February 16, 2026, represents the full extent of the Panel’s discretion to grant continued listing while the Company is non-compliant with the Nasdaq Listing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Panel also required that the Company provide prompt notification of any significant events that occur during the exception period that may affect the Company’s compliance with Nasdaq requirements. In addition, the Company was required to timely file Form 10-Q for the third quarter (which it did), and to provide notice of the status of certain elements of the Company’s compliance plan. Any compliance documentation submitted by the Company will be subject to review by the Panel, which may, in its discretion, request additional information before determining that the Company has complied with the terms of the exception. The Panel has discretion to review its decision to grant an exception period within 45 calendar days after issuance of the written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2026, the Company received written notice from the Staff that as of December 31, 2025, the Company was compliant with the Equity Rule. The Company remains subject to the Panel’s decision letter to maintain compliance with all listing rules for continued listing through February 16, 2026. On February 26, 2026, the Nasdaq Hearings Panel found that the Company regained compliance with all continued listing rules of The Nasdaq Capital Market. Pursuant to Listing Rule 5815(d)(4)(B), the Company will be subject to a Mandatory Panel Monitor per the January 7, 2026 letter. Pursuant to Listing Rule 5815(d)(4)(B), the Company will be subject to a Mandatory Panel Monitor for a period of one year from the date of this letter. If, within that one-year monitoring period, Staff finds the Company again out of compliance with the Equity Rule that was the subject of the exception, notwithstanding Rule 5810(c)(2), the Staff will issue a Delist Determination Letter and the Company will have an opportunity to request a new hearing with the initial Panel or a newly convened Hearings Panel if the initial Panel is unavailable.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the Company received a written notice from the Staff which notified the Company that, for the 30 consecutive business days, the Company’s security did not maintain a minimum bid price of $1 per share, in accordance with Nasdaq Listing Rule 5810(c)(3)(A) (“Bid Price Rule”). Due to the fact that the Company effected a 1-for-40 reverse stock split on April 11, 2025, the Company was not afforded a 180-calendar day period to demonstrate compliance. The Company had the opportunity to appeal this determination at a hearing held by the Nasdaq Hearings Panel (the “Panel”) on May 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May 5, 2026 hearing at which the Company presented, and the Panel considered, the Company’s plan to regain compliance with the Bid Price Rule, on May 29, 2026, the Panel granted the Company an extension to regain compliance with the Nasdaq continued listing rules. In particular, the Panel granted the Company’s request for continued listing on Nasdaq, subject to, among other things, the requirement that on or before July 29, 2026, the Company demonstrate compliance with the Bid Price Rule by exhibiting a bid price at or above $1 for twenty consecutive trading days.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the Company received written notice from the Staff that the Panel found that the Company had regained compliance with the Bid Price Rule in accordance with the terms set forth in the Panel’s decision letter dated May 29, 2026,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indicated in the Panel’s decision letter, as amended, if the Company satisfies the remaining terms of the decision through September 22, 2026, the Panel intends to impose a Discretionary Panel Monitor on the Company pursuant to Listing Rule 5815(d)(4)(A) for a one-year period from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Listing Rule 5815(d)(4)(B), the Company will be subject to a Mandatory Panel Monitor until June 17, 2027. If, within that one-year monitoring period, the Staff finds that the Company is again out of compliance with the Bid Price Rule, which was the subject of the exception, then notwithstanding Rule 5810(c)(2) the Company will not be permitted to provide the Staff with a plan of compliance with respect to that deficiency, and the Staff will not be permitted to grant additional time for the Company to regain compliance with respect to that deficiency, nor will the Company be afforded any cure or compliance period pursuant to Rule 5810(c)(3). Instead, the Staff will issue a Delist Determination Letter and the Company will have an opportunity to request a new hearing with the initial Panel or a newly convened Hearings Panel if the initial Panel is unavailable. The Company will have the opportunity to appear before and present its position to the Hearings Panel as provided by Listing Rule 5815(d)(4)(C). The Company’s securities could then be delisted from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Nasdaq has proposed the adoption of a new continued listing requirement based on Market Value of Listed Securities (“MVLS”). On July 22, 2026, the SEC approved Nasdaq’s proposed rule change to adopt, among other things, a requirement that companies listed on the Nasdaq Capital Market maintain an MVLS of at least $5 million. Under the proposed rule, a company that failed to maintain an MVLS of at least $5 million for 30 consecutive business days would receive an immediate delisting determination and would not be eligible to submit a compliance plan or receive a cure period. Although a company would have the right to appeal such determination to a Nasdaq Hearings Panel, a timely appeal would not stay the suspension of trading of its securities based on an MVLS deficiency. As a result, a company’s securities could be suspended from trading on Nasdaq and trade on the over-the-counter market while any appeal is pending. However, on July 29, 2026, the SEC temporarily stayed the effectiveness of its approval order after receiving notices of intention to petition for review of the delegated action. Accordingly, the implementation, timing and ultimate status of the proposed MVLS requirement remain uncertain. If the proposed rule becomes effective and we fail to satisfy the $5 million MVLS requirement, our Common Stock could become subject to delisting proceedings, which could materially adversely affect the liquidity and market value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we are currently subject to a Mandatory Panel Monitor until June 17, 2027, any future Nasdaq compliance issue could subject us to heightened scrutiny by Nasdaq and could limit the procedural remedies and compliance opportunities otherwise available to listed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is delisted from Nasdaq and begins trading on an OTC market, the liquidity and market price of our Common Stock could be adversely affected. OTC markets generally have fewer market participants, lower trading volumes and less analyst coverage than national securities exchanges, which could result in increased volatility and a decline in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limited operating history may make it difficult for you to evaluate the success of our business to date and to assess our future viability.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2018, we have devoted a significant portion of our resources to identifying and developing our product candidates emerging from our internally-developed immunotherapy platform technology, our other research and development efforts, building our intellectual property portfolio, raising capital, and providing general and administrative support for these operations. We have not yet demonstrated our ability to successfully complete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you may make about our future success or viability may not be as accurate as they could be if we had a longer operating history.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the measures we have taken to date to strengthen internal controls over financial reporting, or any measures we may take in the future, will be sufficient to avoid potential future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management identified a material weakness related to management’s assessment of long-lived assets for impairment. As a result the Company was at risk of a material misstatement in its financial statements by failing to recognize an impairment of $1.5 million for an impairment of the Company’s building, which could have resulted in overstating the value of long-lived assets by $1.5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 in the Quarterly Report filed on May 14, 2026, as of March 31, 2026, management identified a material weakness in the Company’s internal control over financial reporting related to a lack of precision of review to identify the improper application of the accounting guidance for warrant modifications under ASC 815-40 for the modification of warrants issued in November 2025 (the “Warrants”). In connection with a financing completed on February 17, 2026, the Company agreed, subject to stockholder approval, to reprice the Warrants from an exercise price of $14.46 per share to $3.633 per share. The Company originally concluded the modification did not result in a change in the instrument’s classification. As a result of the material weakness, the Company determined that the Warrants should have been reclassified from equity to a liability and accordingly recognized a warrant liability of approximately $1.6 million on February 17, 2026. The warrant liability is required to be remeasured at fair value at each subsequent reporting date, with changes in fair value recognized in earnings. On June 15, 2026, the Company’s stockholders approved the pricing of these Warrants at $3.633 per share, and thus these warrants will be reclassified as equity in the three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Audit Committee of the Board of Directors (the “Audit Committee”) of the Company, in consultation with management and the Company’s independent registered public accounting firm, concluded that the Company’s previously issued unaudited condensed financial statements as of and for the three months ended March 31, 2026, included in the Company’s Quarterly Report on Form 10-Q filed with the Securities and Exchange Commission (the “SEC”) on May 14, 2026, should no longer be relied upon due to an identification of an error in the Company’s application of the two-class method for calculating earnings per share (“EPS”). Specifically, the Company did not appropriately allocate undistributed earnings between Common Stock and participating securities with non-forfeitable dividend rights. Management determined that these errors constituted a material misstatement of EPS.  On August 14, 2026, the Company filed a restatement of its unaudited condensed financial statements for the three months ended March 31, 2026. After giving effect to the Company’s reverse stock split effective on June 30, 2026, the Company had 904,312 weighted-average shares of Common Stock outstanding and had outstanding participating warrants which may be exercised for 524,501 shares of Common Stock as of March 31, 2026. On a post-split basis, as a result of the misapplication of the two-class method, the Company originally reported basic and diluted EPS of $2.19 per share, an overstatement of $0.80 per share, caused by applying a 100% allocation of undistributed earnings to the weighted average shares outstanding; however, the Company should have allocated approximately 63.3% of the applicable undistributed earnings to Common Stock and approximately 36.7% to the participating securities. The error affected EPS as presented on the face of the statement of operations and in the related EPS disclosures. This correction did not impact any other reporting periods. Any previously furnished reports, press releases, earnings releases and other communications describing the Company’s condensed financial statements as of and for the three months ended March 31, 2026, should no longer be relied upon.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yet remediated the material weakness identified as of December 31, 2025 related to the assessment of long-lived assets for impairment. In addition, due to the issues identified related to the warrant modification in February 2026 and the August 14, 2026 restatement of our unaudited consolidated financial statements for the period ended March 31, 2026, the Company has identified a material weakness related to the ineffective operation of its technical accounting review control over complex warrant instruments and financing transactions. Management is implementing remediation measures, including enhanced technical accounting review procedures, and improved coordination with legal counsel and other advisors,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weaknesses in the Company’s internal controls over financial reporting were identified in previous reporting periods not presented in the Annual Report. Upon detecting material weaknesses, the Board of Directors and management implemented a remediation plan to strengthen internal controls. As we continue to evaluate and work to improve our internal control over financial reporting, we may take additional measures to address control deficiencies or determine to modify remediation measures. We cannot assure you that the measures we have taken to date, and may take in the future, will be sufficient to remediate the control deficiencies that led to the material weaknesses in internal control over financial reporting or that we will prevent or avoid potential future material weaknesses. Effective internal controls are necessary for us to provide reliable financial reports. These remediation measures may be time consuming and costly and there is no assurance that these initiatives will ultimately have the intended effects.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resale of shares by the selling stockholders and the issuance of shares upon exercise of the Pre-Funded Warrants and, if issued, the Common Warrants could cause substantial dilution to our existing stockholders and could cause the price of our Common Stock to decline.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(i) 218,682 shares of our Common Stock issued in connection with the July 2026 PIPE Transaction, (ii) up to 400,000 shares of our Common Stock issuable upon exercise of pre-funded warrants issued in the July 2026 PIPE Transaction (the “Pre-Funded Warrants”), and (iii) up to 618,682 shares of our Common Stock issuable upon exercise of Common Warrants to be issued in connection with the July 2026 PIPE Transaction, subject to stockholder approval required under Nasdaq Listing Rule 5635(d) (the “July 2026 Common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issuable upon exercise of the Pre-Funded Warrants and the July 2026 Common Warrants may be sold into the public market at any time after the date of this prospectus following their issuance. The number of shares ultimately sold by the selling stockholders under this prospectus is dependent upon the number of shares the selling stockholders elect to sell and the market conditions during the resale period. Depending on a variety of factors, including market liquidity of our Common Stock, the resale of a substantial number of shares of our Common Stock issued in the July 2026 PIPE Transaction or issuable upon exercise of the Pre-Funded Warrants and the July 2026 Common Warrants may cause the trading price of our Common Stock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ultimately issue all, some, or none of the shares of Common Stock underlying the Pre-Funded Warrants and the July 2026 Common Warrants. In particular, issuance of the July 2026 Common Warrants is contingent upon receipt of stockholder approval required under Nasdaq Listing Rule 5635(d), and there can be no assurance that such stockholder approval will be obtained. The selling stockholders may sell all, some, or none of the shares of our Common Stock covered by this prospectus. Any issuance of shares upon exercise of the Pre-Funded Warrants or the July 2026 Common Warrants will result in dilution to the interests of our existing stockholders. The sale of a substantial number of shares of our Common Stock by the selling stockholders in this offering, or anticipation of such sales, could cause the trading price of our Common Stock to decline or make it more difficult for us to raise additional capital in the future at a time and at a price that we might otherwise desire.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of a substantial number of shares of our Common Stock in the public market could adversely affect the prevailing market price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an aggregate of 1,237,364 shares of our Common Stock, consisting of 218,682 shares issued in the July 2026 PIPE Transaction and up to 1,018,682 shares issuable upon exercise of the Pre-Funded Warrants and the July 2026 Common Warrants, if approved by stockholders and issued. Sales of a substantial number of our shares in the public market, or the perception that such sales might occur, could adversely affect the market price of our shares. We cannot predict if and when the selling stockholders may sell such shares in the public markets. Furthermore, in the future, we may issue additional shares or other equity or debt securities convertible into shares. Any such issuance could result in substantial dilution to our existing stockholders and could cause our share price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Exercises of the Pre-Funded Warrants or the July 2026 Common Warrants, if issued, may occur at times when our stock price is declining or volatile, which could further negatively impact the market price of our Common Stock. It is not possible to predict the actual number of shares that will be issued upon exercise of the Pre-Funded Warrants or the Common Warrants or the timing of such issuances, and investors who purchase shares from the selling stockholders at different times may pay different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2026 Common Warrants to purchase up to 618,682 shares of Common Stock will be issued only if the requisite stockholder approval is obtained pursuant to Nasdaq Listing Rule 5635(d). If issued, the July 2026 Common Warrants will have a fixed exercise price of $2.585 per share and may be exercised at any time prior to their expiration. If exercises occur when the market price of our Common Stock is below or near the exercise price, sales of the resulting shares by the selling stockholders could place downward pressure on our stock price. The Pre-Funded Warrants have a nominal exercise price and are exercisable at any time, which may result in immediate or near-term issuances of shares and additional downward pressure on our stock price.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number of shares issued upon exercise of the Pre-Funded Warrants and the July 2026 Common Warrants, if issued, will depend on when and to what extent the selling stockholders elect to exercise such warrants. In addition, issuance of the July 2026 Common Warrants is contingent upon receipt of stockholder approval, and there can be no assurance that such approval will be obtained. Because exercises may occur at any time during the term of the Pre-Funded Warrants and the July 2026 Common Warrants, it is not currently possible to predict the number of shares that will be issued or the gross proceeds, if any, that we may receive.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because the selling stockholders may resell shares underlying the Pre-Funded Warrants and the July 2026 Common Warrants at varying prices and at different times, investors who purchase those shares may experience different levels of dilution and different investment outcomes. In addition, the expected or actual resale of a substantial number of shares by the selling stockholders may make it more difficult for us to raise additional capital in the future at a time and at a price we might otherwise desire.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securities may experience extreme price and volume fluctuations, which could lead to costly litigation for us and make an investment in us less appealing.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may fluctuate substantially due to a variety of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status and results of our clinical trials for our product candidates;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fund and complete our clinical trials and, if such trials provide data supporting an FDA submission, our ability to apply for and obtain clearance from the FDA;</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a going concern;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Nasdaq listing;</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strategy and plans;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market for our product candidates, if approved for sale in the U.S.;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regulatory pronouncements and changes in regulatory guidelines and timing of regulatory approvals;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industry-specific economic conditions;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financial and operating results, including the rate at which we incur negative cash flow in future periods;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key personnel;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valuations of other companies that operate in our business segments or in our industry;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trading liquidity;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are approved and become available for us to sell in the U.S., whether we ultimately achieve profitability or not;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economic and other external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prices of the securities of early-stage companies, particularly companies like ours that are seeking to obtain regulatory approval of their product candidates and do not yet generate operating revenue, have been highly volatile and are likely to remain highly volatile in the future. This volatility has often been unrelated to the operating performance of particular companies. In the past, companies that experience volatility in the market price of their securities have often faced securities class action litigation. Whether or not meritorious, litigation brought against us could result in substantial costs, divert our management’s attention and resources and harm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shares issued upon exercise of the Pre-Funded Warrants and the July 2026 Common Warrants could cause the market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selling stockholders must pay the fixed exercise price when exercising the July 2026 Common Warrants (unless utilizing a cashless exercise if permitted), the selling stockholders may resell the underlying shares at any price and at any time. In addition, the Pre-Funded Warrants have a nominal exercise price and are exercisable at any time, which could result in immediate or near-term issuance and resale of a substantial number of shares. Such resales, or the expectation that such resales may occur, could cause the market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seek to raise additional funds, finance acquisitions or develop strategic relationships by issuing securities that would dilute your ownership. Depending on the terms available to us, if these activities result in significant dilution, it may negatively impact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additional financing that we secure may require the granting of rights, preferences or privileges senior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those of our Common Stock. Any issuances by us of equity securities may be at or below the prevailing market price of our Common Stock and in any event may have a dilutive impact on your ownership interest, which could cause the market price of our Common Stock to decline. We may also raise additional funds through the incurrence of debt or the issuance or sale of other securities or instruments senior to our shares of Common Stock, which may be highly dilutive. The holders of any securities or instruments we may issue may have rights superior to the rights of holders of our Common Stock. If we experience dilution from the issuance of additional securities and we grant superior rights to new securities over holders of our Common Stock, it may negatively impact the trading price of our common stock and you may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Trading of our Common Stock may be limited, making it difficult for our stockholders to sell their shares, and future sales of Common Stock could reduce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currently trades on Nasdaq under the ticker “HCWB.” The liquidity of our Common Stock may be limited, including in terms of the number of shares that can be bought and sold at a given price and reduction in security analysts’ and the media’s coverage of us, if any. These factors may result in different prices for our Common Stock than might otherwise be obtained in a more liquid market and could also result in a larger spread between the bid and asked prices for our Common Stock. In addition, in the absence of a large market capitalization, our Common Stock is less liquid than the stock of companies with broader public ownership, and, as a result, the trading prices of our Common Stock may be more volatile. In the absence of an active public trading market, an investor may be unable to liquidate his/her investment in our Common Stock. Trading of a relatively small volume of our common stock may have a greater impact on the trading price of our Common Stock. We cannot predict the prices at which our Common Stock will trade in the future,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currently intend to pay dividends on our common stock in the foreseeable future and, consequently, your ability to achieve a return on your investment will depend on appreciation in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any cash dividends to holders of our Common Stock for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FINRA sales practice requirements may limit a stockholder’s ability to buy and sell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June 30, 2020, the SEC implemented Regulation Best Interest requiring that “A broker, dealer, or a natural person who is an associated person of a broker or dealer, when making a recommendation of any securities transaction or investment strategy involving securities (including account recommendations) to a retail customer, shall act in the best interest of the retail customer at the time the recommendation is made, without placing the financial or other interest of the broker, dealer, or natural person who is an associated person of a broker or dealer making the recommendation ahead of the interest of the retail customer.” This is a significantly higher standard for broker-dealers to recommend securities to retail customers than before under FINRA “suitability rules.” FINRA suitability rules do still apply to institutional investors and require that in recommending an investment to a customer, a broker-dealer must have reasonable grounds for believing that the investment is suitable for that customer. Prior to recommending securities to their customers, broker-dealers must make reasonable efforts to obtain information about the customer’s financial status, tax status, investment objectives and other information, and for retail customers determine the investment is in the customer’s “best interest” and meet other SEC requirements. As a result, fewer broker-dealers may be willing to make a market in our common stock, reducing a stockholder’s ability to resell shares of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Y-006"/>
      <w:bookmarkEnd w:id="7"/>
      <w:r>
        <w:rPr>
          <w:rFonts w:ascii="Times New Roman;Times;Serif" w:hAnsi="Times New Roman;Times;Serif"/>
          <w:b/>
          <w:i w:val="false"/>
          <w:caps w:val="false"/>
          <w:smallCaps w:val="false"/>
          <w:sz w:val="20"/>
        </w:rPr>
        <w:t>THE JULY 2026 PIPE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we entered into a Securities Purchase Agreement (the “Purchase Agreement”) with Armistice Capital Master Fund Ltd. (“Armistice”), Hing C. Wong, Ph.D., our Founder and Chief Executive Officer, Scott Garrett, the Chairman of our Board of Directors, and Lee Flowers, our Senior Vice President of Business Development (collectively, the “Investors”), pursuant to which we issued and sold, in the July 2026 PIPE Transaction, an aggregate of 618,682 units at a purchase price of $2.585 per unit consisting of one share of Common Stock and the right to receive one July 2026 Common Warrant and $2.5849 per unit consisting of one Pre-Funded Warrant and the right to receive one Common Warrant. Each unit consisted of (i) one share of Common Stock or, in lieu thereof, one Pre-Funded Warrant and (ii) the right to receive one July 2026 Common Warrant, subject to stockholder approval. The shares of Common Stock or Pre-Funded Warrants and the rights to receive July 2026 Common Warrants were immediately separable and were issued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July 2026 PIPE Transaction, on July 29, 2026, we issued 218,682 shares of Common Stock to Armistice, Hing C. Wong, Ph.D., Scott Garrett and Lee Flowers and 400,000 Pre-Funded Warrants to Armistice. The Pre-Funded Warrants are exercisable immediately at an exercise price of $0.0001 per share and will remain exercisable until exercised in full. The Pre-Funded Warrants may not be exercised to the extent that, after giving effect to such exercise, the holder would beneficially own more than 9.99% of the number of shares of our Common Stock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Investors are entitled to receive Common Warrants exercisable for up to an aggregate of 618,682 shares of Common Stock. The issuance of the July 2026 Common Warrants is subject to stockholder approval required under Nasdaq Listing Rule 5635(d), which approval we are obligated to seek pursuant to the terms of the Purchase Agreement. Following receipt of such stockholder approval, we will issue the July 2026 Common Warrants to the Investors. The Company intends to hold a Special Meeting of Stockholders on or about October 27, 2026, at which the Company’s stockholders will be asked to approve the issuance of the July 2026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2026 Common Warrants will be exercisable immediately upon issuance at an exercise price of $2.585 per share and will expire on the five and one-half year anniversary of the date of issuance. The July 2026 Common Warrants will not be exercisable to the extent that, after giving effect to such exercise, the holder would beneficially own more than 4.99% of the number of shares of our Common Stock outstanding immediately after giving effect to such exercise, subject to adjustment by the holder in accordance with their terms. There can be no assurance that stockholder approval will be obtained. If stockholder approval is not obtained, the July 2026 Common Warrants will not be issued and the shares of Common Stock underlying the July 2026 Common Warrants will not become issuable.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issued and to be issued in the July 2026 PIPE Transaction, including the Pre-Funded Warrants and the shares of Common Stock issuable upon exercise thereof, and the July 2026 Common Warrants and the shares of Common Stock issuable upon receipt of stockholder approval and exercise thereof, if issued (collectively, the “Warrant Shares”), were offered and sold, or will be offered and sold, as applicable, in reliance on the exemption from registration provided by Section 4(a)(2) of the Securities Act and Rule 506(b) of Regulation D promulgated thereunder and have not been registered under the Securities Act or applicable state securities laws. Pursuant to the terms of the Registration Rights Agreement entered into in connection with the July 2026 PIPE Transaction, we agreed to file a registration statement to register the resale of the shares of Common Stock issued in the July 2026 PIPE Transaction and the Warrant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2026 PIPE Transaction closed on July 29, 2026 and resulted in gross proceeds to the Company of approximately $1.6 million before deducting offering expenses.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Y-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securities offered by this prospectus are being registered for the account of the selling stockholders. We will not receive any proceeds from the sale of shares of Common Stock by the selling stockholders, and the proceeds from the exercise of Pre-Funded Warrants will be nominal. If the July 2026 Common Warrants are exercised, the Company may receive up to $1.6 million from the exercise of these warrants by the selling stockholders. We have agreed to pay all costs, expenses, and fees relating to the registration of the securities covered by this prospectus. The selling stockholders will bear all commissions and discounts, if any, attributable to its sale of shares of our Common Stock. The prices at which the shares of Common Stock covered by this prospectus may actually be sold will be determined by the prevailing public market price for shares of our Common Stock, by negotiations between the selling stockholders and buyers of our Common Stock in private transactions or as otherwise described in “Plan of Distribution.”</w:t>
      </w:r>
    </w:p>
    <w:p>
      <w:pPr>
        <w:pStyle w:val="TextBody"/>
        <w:bidi w:val="0"/>
        <w:spacing w:before="0" w:after="0"/>
        <w:jc w:val="center"/>
        <w:rPr>
          <w:caps w:val="false"/>
          <w:smallCaps w:val="false"/>
        </w:rPr>
      </w:pPr>
      <w:r>
        <w:rPr>
          <w:caps w:val="false"/>
          <w:smallCaps w:val="false"/>
        </w:rPr>
        <w:t xml:space="preserve">  </w:t>
      </w:r>
    </w:p>
    <w:p>
      <w:pPr>
        <w:pStyle w:val="TextBody"/>
        <w:bidi w:val="0"/>
        <w:jc w:val="center"/>
        <w:rPr>
          <w:rFonts w:ascii="Times New Roman;Times;Serif" w:hAnsi="Times New Roman;Times;Serif"/>
          <w:b w:val="false"/>
          <w:i w:val="false"/>
          <w:caps w:val="false"/>
          <w:smallCaps w:val="false"/>
          <w:sz w:val="20"/>
        </w:rPr>
      </w:pPr>
      <w:bookmarkStart w:id="9" w:name="mpo_001"/>
      <w:bookmarkEnd w:id="9"/>
      <w:r>
        <w:rPr>
          <w:rFonts w:ascii="Times New Roman;Times;Serif" w:hAnsi="Times New Roman;Times;Serif"/>
          <w:b/>
          <w:i w:val="false"/>
          <w:caps w:val="false"/>
          <w:smallCaps w:val="false"/>
          <w:sz w:val="20"/>
        </w:rPr>
        <w:t>MARKET PRICE OF OUR COMMON STOCK AND DIVIDEND INFORMATION</w:t>
      </w:r>
      <w:r>
        <w:rPr>
          <w:rFonts w:ascii="Times New Roman;Times;Serif" w:hAnsi="Times New Roman;Times;Serif"/>
          <w:b w:val="false"/>
          <w:i w:val="false"/>
          <w:caps w:val="false"/>
          <w:smallCaps w:val="false"/>
          <w:sz w:val="20"/>
        </w:rPr>
        <w:t xml:space="preserve"> </w:t>
      </w:r>
    </w:p>
    <w:p>
      <w:pPr>
        <w:pStyle w:val="TextBody"/>
        <w:bidi w:val="0"/>
        <w:jc w:val="left"/>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Market Price of Our Common Stock</w:t>
      </w:r>
      <w:r>
        <w:rPr>
          <w:rFonts w:ascii="Times New Roman;Times;Serif" w:hAnsi="Times New Roman;Times;Serif"/>
          <w:b w:val="false"/>
          <w:i w:val="false"/>
          <w:caps w:val="false"/>
          <w:smallCaps w:val="false"/>
          <w:sz w:val="20"/>
        </w:rPr>
        <w:t xml:space="preserve"> </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currently listed on Nasdaq, under the symbol “HCWB”. </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17, 2026, the closing sale price of our Common Stock was $2.52 per share. </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17, 2026, there were approximately 4,500 holders of record of our Common Stock. Such numbers do not include beneficial owners holding our securities through nominee names. </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Policy</w:t>
      </w:r>
      <w:r>
        <w:rPr>
          <w:rFonts w:ascii="Times New Roman;Times;Serif" w:hAnsi="Times New Roman;Times;Serif"/>
          <w:b w:val="false"/>
          <w:i w:val="false"/>
          <w:caps w:val="false"/>
          <w:smallCaps w:val="false"/>
          <w:sz w:val="20"/>
        </w:rPr>
        <w:t xml:space="preserve"> </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HCWB does not anticipate paying any cash dividends in the foreseeable future. If HCWB incurs indebtedness in the future to fund its future growth, its ability to pay dividends may be further restricted by the terms of such indebtedness. </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Y-008"/>
      <w:bookmarkEnd w:id="10"/>
      <w:r>
        <w:rPr>
          <w:rFonts w:ascii="Times New Roman;Times;Serif" w:hAnsi="Times New Roman;Times;Serif"/>
          <w:b/>
          <w:i w:val="false"/>
          <w:caps w:val="false"/>
          <w:smallCaps w:val="false"/>
          <w:sz w:val="20"/>
        </w:rPr>
        <w:t>BENEFICIAL OWNERSHIP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Stock as of August 17, 2026, by:</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or group of affiliated persons, known by us to be the beneficial owner of more than 5% of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bidi w:val="0"/>
        <w:spacing w:before="0" w:after="0"/>
        <w:ind w:left="1101"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that are currently exercisable or exercisable within 60 days of August 20, 2026 are deemed to be outstanding and to be beneficially owned by the person holding the stock options for the purpose of computing the percentage ownership of that person, but are not treated as outstanding for the purpose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ownership of our Common Stock is based on 1,836,324 shares of our Common Stock outstanding on August 20, 2026, including 218,682 shares purchased in connection with the July 2026 PIPE Transaction. Unless otherwise indicated, the address of each of the individuals and entities named below is c/o HCW Biologics Inc., 2929 N. Commerce Parkway, Miramar, Florida 33025.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50"/>
        <w:gridCol w:w="60"/>
        <w:gridCol w:w="86"/>
        <w:gridCol w:w="1170"/>
        <w:gridCol w:w="60"/>
        <w:gridCol w:w="60"/>
        <w:gridCol w:w="155"/>
        <w:gridCol w:w="1459"/>
        <w:gridCol w:w="60"/>
        <w:gridCol w:w="60"/>
        <w:gridCol w:w="206"/>
        <w:gridCol w:w="2761"/>
        <w:gridCol w:w="60"/>
        <w:gridCol w:w="60"/>
        <w:gridCol w:w="198"/>
        <w:gridCol w:w="1465"/>
        <w:gridCol w:w="235"/>
      </w:tblGrid>
      <w:tr>
        <w:trPr/>
        <w:tc>
          <w:tcPr>
            <w:tcW w:w="2050" w:type="dxa"/>
            <w:tcBorders>
              <w:bottom w:val="single" w:sz="8" w:space="0" w:color="000000"/>
            </w:tcBorders>
            <w:vAlign w:val="center"/>
          </w:tcPr>
          <w:p>
            <w:pPr>
              <w:pStyle w:val="TableContents"/>
              <w:bidi w:val="0"/>
              <w:spacing w:before="0" w:after="283"/>
              <w:jc w:val="left"/>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256" w:type="dxa"/>
            <w:gridSpan w:val="2"/>
            <w:tcBorders>
              <w:bottom w:val="single" w:sz="8" w:space="0" w:color="000000"/>
            </w:tcBorders>
            <w:vAlign w:val="center"/>
          </w:tcPr>
          <w:p>
            <w:pPr>
              <w:pStyle w:val="TableContents"/>
              <w:bidi w:val="0"/>
              <w:spacing w:before="0" w:after="283"/>
              <w:jc w:val="center"/>
              <w:rPr>
                <w:b/>
              </w:rPr>
            </w:pPr>
            <w:r>
              <w:rPr>
                <w:b/>
              </w:rPr>
              <w:t>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4" w:type="dxa"/>
            <w:gridSpan w:val="2"/>
            <w:tcBorders>
              <w:bottom w:val="single" w:sz="8" w:space="0" w:color="000000"/>
            </w:tcBorders>
            <w:vAlign w:val="center"/>
          </w:tcPr>
          <w:p>
            <w:pPr>
              <w:pStyle w:val="TableContents"/>
              <w:bidi w:val="0"/>
              <w:spacing w:before="0" w:after="283"/>
              <w:jc w:val="center"/>
              <w:rPr>
                <w:b/>
              </w:rPr>
            </w:pPr>
            <w:r>
              <w:rPr>
                <w:b/>
              </w:rPr>
              <w:t xml:space="preserve">Options Exercisable </w:t>
              <w:br/>
              <w:t>within 60 days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67" w:type="dxa"/>
            <w:gridSpan w:val="2"/>
            <w:tcBorders>
              <w:bottom w:val="single" w:sz="8" w:space="0" w:color="000000"/>
            </w:tcBorders>
            <w:vAlign w:val="center"/>
          </w:tcPr>
          <w:p>
            <w:pPr>
              <w:pStyle w:val="TableContents"/>
              <w:bidi w:val="0"/>
              <w:spacing w:before="0" w:after="283"/>
              <w:jc w:val="center"/>
              <w:rPr>
                <w:b/>
              </w:rPr>
            </w:pPr>
            <w:r>
              <w:rPr>
                <w:b/>
              </w:rPr>
              <w:t>Aggregate Number of Shares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3" w:type="dxa"/>
            <w:gridSpan w:val="2"/>
            <w:tcBorders>
              <w:bottom w:val="single" w:sz="8" w:space="0" w:color="000000"/>
            </w:tcBorders>
            <w:vAlign w:val="center"/>
          </w:tcPr>
          <w:p>
            <w:pPr>
              <w:pStyle w:val="TableContents"/>
              <w:bidi w:val="0"/>
              <w:spacing w:before="0" w:after="283"/>
              <w:jc w:val="center"/>
              <w:rPr>
                <w:b/>
              </w:rPr>
            </w:pPr>
            <w:r>
              <w:rPr>
                <w:b/>
              </w:rPr>
              <w:t xml:space="preserve">Percentage of Shares </w:t>
              <w:br/>
              <w:t xml:space="preserve">Beneficially </w:t>
              <w:br/>
              <w:t>Owned</w:t>
            </w:r>
          </w:p>
        </w:tc>
        <w:tc>
          <w:tcPr>
            <w:tcW w:w="235" w:type="dxa"/>
            <w:tcBorders/>
            <w:tcMar>
              <w:bottom w:w="0" w:type="dxa"/>
            </w:tcMar>
            <w:vAlign w:val="center"/>
          </w:tcPr>
          <w:p>
            <w:pPr>
              <w:pStyle w:val="TableContents"/>
              <w:bidi w:val="0"/>
              <w:spacing w:before="0" w:after="283"/>
              <w:jc w:val="left"/>
              <w:rPr/>
            </w:pPr>
            <w:r>
              <w:rPr/>
              <w:t> </w:t>
            </w:r>
          </w:p>
        </w:tc>
      </w:tr>
      <w:tr>
        <w:trPr/>
        <w:tc>
          <w:tcPr>
            <w:tcW w:w="2050" w:type="dxa"/>
            <w:tcBorders/>
            <w:shd w:fill="CCEEFF" w:val="clear"/>
            <w:tcMar>
              <w:bottom w:w="0" w:type="dxa"/>
            </w:tcMar>
            <w:vAlign w:val="center"/>
          </w:tcPr>
          <w:p>
            <w:pPr>
              <w:pStyle w:val="TableContents"/>
              <w:bidi w:val="0"/>
              <w:spacing w:before="0" w:after="283"/>
              <w:jc w:val="left"/>
              <w:rPr>
                <w:b/>
                <w:i/>
              </w:rPr>
            </w:pPr>
            <w:r>
              <w:rPr>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6" w:type="dxa"/>
            <w:gridSpan w:val="2"/>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4" w:type="dxa"/>
            <w:gridSpan w:val="2"/>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67" w:type="dxa"/>
            <w:gridSpan w:val="2"/>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3" w:type="dxa"/>
            <w:gridSpan w:val="2"/>
            <w:tcBorders/>
            <w:shd w:fill="CCEEFF" w:val="clear"/>
            <w:tcMar>
              <w:bottom w:w="0" w:type="dxa"/>
            </w:tcMar>
            <w:vAlign w:val="center"/>
          </w:tcPr>
          <w:p>
            <w:pPr>
              <w:pStyle w:val="TableContents"/>
              <w:bidi w:val="0"/>
              <w:spacing w:before="0" w:after="283"/>
              <w:jc w:val="left"/>
              <w:rPr/>
            </w:pPr>
            <w:r>
              <w:rPr/>
              <w:t> </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20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Hing C. Wong, Ph.D.</w:t>
            </w:r>
            <w:r>
              <w:rPr>
                <w:rFonts w:ascii="Times New Roman;Times;Serif" w:hAnsi="Times New Roman;Times;Serif"/>
                <w:b/>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70" w:type="dxa"/>
            <w:tcBorders/>
            <w:shd w:fill="FFFFFF" w:val="clear"/>
            <w:tcMar>
              <w:bottom w:w="0" w:type="dxa"/>
            </w:tcMar>
            <w:vAlign w:val="center"/>
          </w:tcPr>
          <w:p>
            <w:pPr>
              <w:pStyle w:val="TableContents"/>
              <w:bidi w:val="0"/>
              <w:spacing w:before="0" w:after="283"/>
              <w:jc w:val="right"/>
              <w:rPr/>
            </w:pPr>
            <w:r>
              <w:rPr/>
              <w:t>125,845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3,334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2761" w:type="dxa"/>
            <w:tcBorders/>
            <w:shd w:fill="FFFFFF" w:val="clear"/>
            <w:tcMar>
              <w:bottom w:w="0" w:type="dxa"/>
            </w:tcMar>
            <w:vAlign w:val="center"/>
          </w:tcPr>
          <w:p>
            <w:pPr>
              <w:pStyle w:val="TableContents"/>
              <w:bidi w:val="0"/>
              <w:spacing w:before="0" w:after="283"/>
              <w:jc w:val="right"/>
              <w:rPr/>
            </w:pPr>
            <w:r>
              <w:rPr/>
              <w:t>129,179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465" w:type="dxa"/>
            <w:tcBorders/>
            <w:shd w:fill="FFFFFF" w:val="clear"/>
            <w:tcMar>
              <w:bottom w:w="0" w:type="dxa"/>
            </w:tcMar>
            <w:vAlign w:val="center"/>
          </w:tcPr>
          <w:p>
            <w:pPr>
              <w:pStyle w:val="TableContents"/>
              <w:bidi w:val="0"/>
              <w:spacing w:before="0" w:after="283"/>
              <w:jc w:val="right"/>
              <w:rPr/>
            </w:pPr>
            <w:r>
              <w:rPr/>
              <w:t>7.0</w:t>
            </w:r>
          </w:p>
        </w:tc>
        <w:tc>
          <w:tcPr>
            <w:tcW w:w="235" w:type="dxa"/>
            <w:tcBorders/>
            <w:shd w:fill="FFFFFF" w:val="clear"/>
            <w:tcMar>
              <w:bottom w:w="0" w:type="dxa"/>
            </w:tcMar>
            <w:vAlign w:val="center"/>
          </w:tcPr>
          <w:p>
            <w:pPr>
              <w:pStyle w:val="TableContents"/>
              <w:bidi w:val="0"/>
              <w:spacing w:before="0" w:after="283"/>
              <w:jc w:val="left"/>
              <w:rPr/>
            </w:pPr>
            <w:r>
              <w:rPr/>
              <w:t>%</w:t>
            </w:r>
          </w:p>
        </w:tc>
      </w:tr>
      <w:tr>
        <w:trPr/>
        <w:tc>
          <w:tcPr>
            <w:tcW w:w="205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Peter Rhode, Ph.D</w:t>
            </w:r>
            <w:r>
              <w:rPr>
                <w:rFonts w:ascii="Times New Roman;Times;Serif" w:hAnsi="Times New Roman;Times;Serif"/>
                <w:b/>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70" w:type="dxa"/>
            <w:tcBorders/>
            <w:shd w:fill="CCEEFF" w:val="clear"/>
            <w:tcMar>
              <w:bottom w:w="0" w:type="dxa"/>
            </w:tcMar>
            <w:vAlign w:val="center"/>
          </w:tcPr>
          <w:p>
            <w:pPr>
              <w:pStyle w:val="TableContents"/>
              <w:bidi w:val="0"/>
              <w:spacing w:before="0" w:after="283"/>
              <w:jc w:val="right"/>
              <w:rPr/>
            </w:pPr>
            <w:r>
              <w:rPr/>
              <w:t>324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207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2761" w:type="dxa"/>
            <w:tcBorders/>
            <w:shd w:fill="CCEEFF" w:val="clear"/>
            <w:tcMar>
              <w:bottom w:w="0" w:type="dxa"/>
            </w:tcMar>
            <w:vAlign w:val="center"/>
          </w:tcPr>
          <w:p>
            <w:pPr>
              <w:pStyle w:val="TableContents"/>
              <w:bidi w:val="0"/>
              <w:spacing w:before="0" w:after="283"/>
              <w:jc w:val="right"/>
              <w:rPr/>
            </w:pPr>
            <w:r>
              <w:rPr/>
              <w:t>531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4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20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Rebecca Byam</w:t>
            </w:r>
            <w:r>
              <w:rPr>
                <w:rFonts w:ascii="Times New Roman;Times;Serif" w:hAnsi="Times New Roman;Times;Serif"/>
                <w:b/>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70" w:type="dxa"/>
            <w:tcBorders/>
            <w:shd w:fill="FFFFFF" w:val="clear"/>
            <w:tcMar>
              <w:bottom w:w="0" w:type="dxa"/>
            </w:tcMar>
            <w:vAlign w:val="center"/>
          </w:tcPr>
          <w:p>
            <w:pPr>
              <w:pStyle w:val="TableContents"/>
              <w:bidi w:val="0"/>
              <w:spacing w:before="0" w:after="283"/>
              <w:jc w:val="right"/>
              <w:rPr/>
            </w:pPr>
            <w:r>
              <w:rPr/>
              <w:t>9,542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897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2761" w:type="dxa"/>
            <w:tcBorders/>
            <w:shd w:fill="FFFFFF" w:val="clear"/>
            <w:tcMar>
              <w:bottom w:w="0" w:type="dxa"/>
            </w:tcMar>
            <w:vAlign w:val="center"/>
          </w:tcPr>
          <w:p>
            <w:pPr>
              <w:pStyle w:val="TableContents"/>
              <w:bidi w:val="0"/>
              <w:spacing w:before="0" w:after="283"/>
              <w:jc w:val="right"/>
              <w:rPr/>
            </w:pPr>
            <w:r>
              <w:rPr/>
              <w:t>10,439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465" w:type="dxa"/>
            <w:tcBorders/>
            <w:shd w:fill="FFFFFF" w:val="clear"/>
            <w:tcMar>
              <w:bottom w:w="0" w:type="dxa"/>
            </w:tcMar>
            <w:vAlign w:val="center"/>
          </w:tcPr>
          <w:p>
            <w:pPr>
              <w:pStyle w:val="TableContents"/>
              <w:bidi w:val="0"/>
              <w:spacing w:before="0" w:after="283"/>
              <w:jc w:val="right"/>
              <w:rPr/>
            </w:pPr>
            <w:r>
              <w:rPr/>
              <w:t>1.0</w:t>
            </w:r>
          </w:p>
        </w:tc>
        <w:tc>
          <w:tcPr>
            <w:tcW w:w="235" w:type="dxa"/>
            <w:tcBorders/>
            <w:shd w:fill="FFFFFF" w:val="clear"/>
            <w:tcMar>
              <w:bottom w:w="0" w:type="dxa"/>
            </w:tcMar>
            <w:vAlign w:val="center"/>
          </w:tcPr>
          <w:p>
            <w:pPr>
              <w:pStyle w:val="TableContents"/>
              <w:bidi w:val="0"/>
              <w:spacing w:before="0" w:after="283"/>
              <w:jc w:val="left"/>
              <w:rPr/>
            </w:pPr>
            <w:r>
              <w:rPr/>
              <w:t>%</w:t>
            </w:r>
          </w:p>
        </w:tc>
      </w:tr>
      <w:tr>
        <w:trPr/>
        <w:tc>
          <w:tcPr>
            <w:tcW w:w="205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Scott T. Garrett</w:t>
            </w:r>
            <w:r>
              <w:rPr>
                <w:rFonts w:ascii="Times New Roman;Times;Serif" w:hAnsi="Times New Roman;Times;Serif"/>
                <w:b/>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70" w:type="dxa"/>
            <w:tcBorders/>
            <w:shd w:fill="CCEEFF" w:val="clear"/>
            <w:tcMar>
              <w:bottom w:w="0" w:type="dxa"/>
            </w:tcMar>
            <w:vAlign w:val="center"/>
          </w:tcPr>
          <w:p>
            <w:pPr>
              <w:pStyle w:val="TableContents"/>
              <w:bidi w:val="0"/>
              <w:spacing w:before="0" w:after="283"/>
              <w:jc w:val="right"/>
              <w:rPr/>
            </w:pPr>
            <w:r>
              <w:rPr/>
              <w:t>41,644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369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2761" w:type="dxa"/>
            <w:tcBorders/>
            <w:shd w:fill="CCEEFF" w:val="clear"/>
            <w:tcMar>
              <w:bottom w:w="0" w:type="dxa"/>
            </w:tcMar>
            <w:vAlign w:val="center"/>
          </w:tcPr>
          <w:p>
            <w:pPr>
              <w:pStyle w:val="TableContents"/>
              <w:bidi w:val="0"/>
              <w:spacing w:before="0" w:after="283"/>
              <w:jc w:val="right"/>
              <w:rPr/>
            </w:pPr>
            <w:r>
              <w:rPr/>
              <w:t>42,013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465" w:type="dxa"/>
            <w:tcBorders/>
            <w:shd w:fill="CCEEFF" w:val="clear"/>
            <w:tcMar>
              <w:bottom w:w="0" w:type="dxa"/>
            </w:tcMar>
            <w:vAlign w:val="center"/>
          </w:tcPr>
          <w:p>
            <w:pPr>
              <w:pStyle w:val="TableContents"/>
              <w:bidi w:val="0"/>
              <w:spacing w:before="0" w:after="283"/>
              <w:jc w:val="right"/>
              <w:rPr/>
            </w:pPr>
            <w:r>
              <w:rPr/>
              <w:t>2.0</w:t>
            </w:r>
          </w:p>
        </w:tc>
        <w:tc>
          <w:tcPr>
            <w:tcW w:w="235" w:type="dxa"/>
            <w:tcBorders/>
            <w:shd w:fill="CCEEFF" w:val="clear"/>
            <w:tcMar>
              <w:bottom w:w="0" w:type="dxa"/>
            </w:tcMar>
            <w:vAlign w:val="center"/>
          </w:tcPr>
          <w:p>
            <w:pPr>
              <w:pStyle w:val="TableContents"/>
              <w:bidi w:val="0"/>
              <w:spacing w:before="0" w:after="283"/>
              <w:jc w:val="left"/>
              <w:rPr/>
            </w:pPr>
            <w:r>
              <w:rPr/>
              <w:t>%</w:t>
            </w:r>
          </w:p>
        </w:tc>
      </w:tr>
      <w:tr>
        <w:trPr/>
        <w:tc>
          <w:tcPr>
            <w:tcW w:w="20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Rick S. Greene</w:t>
            </w:r>
            <w:r>
              <w:rPr>
                <w:rFonts w:ascii="Times New Roman;Times;Serif" w:hAnsi="Times New Roman;Times;Serif"/>
                <w:b/>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70" w:type="dxa"/>
            <w:tcBorders/>
            <w:shd w:fill="FFFFFF" w:val="clear"/>
            <w:tcMar>
              <w:bottom w:w="0" w:type="dxa"/>
            </w:tcMar>
            <w:vAlign w:val="center"/>
          </w:tcPr>
          <w:p>
            <w:pPr>
              <w:pStyle w:val="TableContents"/>
              <w:bidi w:val="0"/>
              <w:spacing w:before="0" w:after="283"/>
              <w:jc w:val="right"/>
              <w:rPr/>
            </w:pPr>
            <w:r>
              <w:rPr/>
              <w:t>346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369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2761" w:type="dxa"/>
            <w:tcBorders/>
            <w:shd w:fill="FFFFFF" w:val="clear"/>
            <w:tcMar>
              <w:bottom w:w="0" w:type="dxa"/>
            </w:tcMar>
            <w:vAlign w:val="center"/>
          </w:tcPr>
          <w:p>
            <w:pPr>
              <w:pStyle w:val="TableContents"/>
              <w:bidi w:val="0"/>
              <w:spacing w:before="0" w:after="283"/>
              <w:jc w:val="right"/>
              <w:rPr/>
            </w:pPr>
            <w:r>
              <w:rPr/>
              <w:t>715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46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205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Lisa M. Giles</w:t>
            </w:r>
            <w:r>
              <w:rPr>
                <w:rFonts w:ascii="Times New Roman;Times;Serif" w:hAnsi="Times New Roman;Times;Serif"/>
                <w:b/>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70" w:type="dxa"/>
            <w:tcBorders/>
            <w:shd w:fill="CCEEFF" w:val="clear"/>
            <w:tcMar>
              <w:bottom w:w="0" w:type="dxa"/>
            </w:tcMar>
            <w:vAlign w:val="center"/>
          </w:tcPr>
          <w:p>
            <w:pPr>
              <w:pStyle w:val="TableContents"/>
              <w:bidi w:val="0"/>
              <w:spacing w:before="0" w:after="283"/>
              <w:jc w:val="right"/>
              <w:rPr/>
            </w:pPr>
            <w:r>
              <w:rPr/>
              <w:t>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436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2761" w:type="dxa"/>
            <w:tcBorders/>
            <w:shd w:fill="CCEEFF" w:val="clear"/>
            <w:tcMar>
              <w:bottom w:w="0" w:type="dxa"/>
            </w:tcMar>
            <w:vAlign w:val="center"/>
          </w:tcPr>
          <w:p>
            <w:pPr>
              <w:pStyle w:val="TableContents"/>
              <w:bidi w:val="0"/>
              <w:spacing w:before="0" w:after="283"/>
              <w:jc w:val="right"/>
              <w:rPr/>
            </w:pPr>
            <w:r>
              <w:rPr/>
              <w:t>586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46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2050" w:type="dxa"/>
            <w:tcBorders/>
            <w:shd w:fill="FFFFFF" w:val="clear"/>
            <w:tcMar>
              <w:bottom w:w="0" w:type="dxa"/>
            </w:tcMar>
            <w:vAlign w:val="center"/>
          </w:tcPr>
          <w:p>
            <w:pPr>
              <w:pStyle w:val="TableContents"/>
              <w:bidi w:val="0"/>
              <w:spacing w:before="0" w:after="283"/>
              <w:jc w:val="left"/>
              <w:rPr>
                <w:b/>
              </w:rPr>
            </w:pPr>
            <w:r>
              <w:rPr>
                <w:b/>
              </w:rPr>
              <w:t xml:space="preserve">All executive officers and </w:t>
              <w:br/>
              <w:t xml:space="preserve">directors as a group </w:t>
              <w:br/>
              <w:t>(7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70" w:type="dxa"/>
            <w:tcBorders/>
            <w:shd w:fill="FFFFFF" w:val="clear"/>
            <w:tcMar>
              <w:bottom w:w="0" w:type="dxa"/>
            </w:tcMar>
            <w:vAlign w:val="center"/>
          </w:tcPr>
          <w:p>
            <w:pPr>
              <w:pStyle w:val="TableContents"/>
              <w:bidi w:val="0"/>
              <w:spacing w:before="0" w:after="283"/>
              <w:jc w:val="right"/>
              <w:rPr/>
            </w:pPr>
            <w:r>
              <w:rPr/>
              <w:t>177,851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pPr>
            <w:r>
              <w:rPr/>
              <w:t>5,821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2761" w:type="dxa"/>
            <w:tcBorders/>
            <w:shd w:fill="FFFFFF" w:val="clear"/>
            <w:tcMar>
              <w:bottom w:w="0" w:type="dxa"/>
            </w:tcMar>
            <w:vAlign w:val="center"/>
          </w:tcPr>
          <w:p>
            <w:pPr>
              <w:pStyle w:val="TableContents"/>
              <w:bidi w:val="0"/>
              <w:spacing w:before="0" w:after="283"/>
              <w:jc w:val="right"/>
              <w:rPr/>
            </w:pPr>
            <w:r>
              <w:rPr/>
              <w:t>183,672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465" w:type="dxa"/>
            <w:tcBorders/>
            <w:shd w:fill="FFFFFF" w:val="clear"/>
            <w:tcMar>
              <w:bottom w:w="0" w:type="dxa"/>
            </w:tcMar>
            <w:vAlign w:val="center"/>
          </w:tcPr>
          <w:p>
            <w:pPr>
              <w:pStyle w:val="TableContents"/>
              <w:bidi w:val="0"/>
              <w:spacing w:before="0" w:after="283"/>
              <w:jc w:val="right"/>
              <w:rPr/>
            </w:pPr>
            <w:r>
              <w:rPr/>
              <w:t xml:space="preserve">10.0 </w:t>
            </w:r>
          </w:p>
        </w:tc>
        <w:tc>
          <w:tcPr>
            <w:tcW w:w="235"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the outstanding shares of our Common Stock.</w:t>
            </w:r>
          </w:p>
        </w:tc>
      </w:tr>
      <w:tr>
        <w:trPr/>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108,644 shares held directly by Dr. Hing C. Wong, including 23,210 shares purchased in connection with the July 2026 PIPE Transaction, and (b) 17,201 shares held by Dr. Hing C. Wong and Ms. Bee Yau Huang.</w:t>
            </w:r>
          </w:p>
        </w:tc>
      </w:tr>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324 shares held directly by Peter Rhode.</w:t>
            </w:r>
          </w:p>
        </w:tc>
      </w:tr>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9,542 shares held directly by Rebecca Byam.</w:t>
            </w:r>
          </w:p>
        </w:tc>
      </w:tr>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38,509 shares held by Garrett Capital Partners, LLC, including 7,736 shares purchased in connection with the July 2026 PIPE Transaction. Mr. Garrett is deemed to beneficially own the shares held by Garrett Capital Partners, LLC and (b) 3,135 shares held directly by Mr. Garrett.</w:t>
            </w:r>
          </w:p>
        </w:tc>
      </w:tr>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346 shares held directly by Rick S. Greene.</w:t>
            </w:r>
          </w:p>
        </w:tc>
      </w:tr>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150 shares held by Lisa M. Giles Living Trust.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Y-009"/>
      <w:bookmarkEnd w:id="11"/>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under this prospectus may be offered from time to time by the selling stockholders named below or by any of its respective pledgees, donees, transferees or other successors-in-interest. As used in this prospectus, the term “selling stockholder” includes the selling stockholders identified below and any donees, pledgees, transferees or other successors-in-interest selling shares received after the date of this prospectus from the selling stockholders as a gift, pledge or other non-sale related transfer. The selling stockholders named below will acquire the shares of our Common Stock being offered under this prospectus directly from us. We will issue the securities to the selling stockholders in reliance on an exemption from the registration requirements of the Securities Act pursuant to Section 4(a)(2) of the Securities Act and Rule 506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as of August 20, 2026: (1) the name of the selling stockholders for whom we are registering shares of our Common Stock under the registration statement of which this prospectus is a part, (2) the number of shares of our Common Stock beneficially owned by the selling stockholder prior to the offering, determined in accordance with Rule 13d-3 under the Exchange Act, (3) the number of shares of our Common Stock that may be offered by the selling stockholders under this prospectus and (4) the number of shares of our Common Stock to be owned by the selling stockholders after completion of this offering. We will not receive any of the proceeds from the sale of the shares of our Common Stock offered under this prospectus. The amounts and information set forth below are based upon information provided to us by the selling stockholders or its representatives, or on our records, as of August 20, 2026.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7"/>
        <w:gridCol w:w="60"/>
        <w:gridCol w:w="95"/>
        <w:gridCol w:w="1105"/>
        <w:gridCol w:w="616"/>
        <w:gridCol w:w="82"/>
        <w:gridCol w:w="218"/>
        <w:gridCol w:w="1024"/>
        <w:gridCol w:w="594"/>
        <w:gridCol w:w="60"/>
        <w:gridCol w:w="86"/>
        <w:gridCol w:w="1148"/>
        <w:gridCol w:w="60"/>
        <w:gridCol w:w="60"/>
        <w:gridCol w:w="105"/>
        <w:gridCol w:w="1240"/>
        <w:gridCol w:w="682"/>
        <w:gridCol w:w="92"/>
        <w:gridCol w:w="288"/>
        <w:gridCol w:w="955"/>
        <w:gridCol w:w="438"/>
      </w:tblGrid>
      <w:tr>
        <w:trPr/>
        <w:tc>
          <w:tcPr>
            <w:tcW w:w="11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of Common Stock Beneficially Owned Prior to the Offering (1)</w:t>
            </w:r>
          </w:p>
        </w:tc>
        <w:tc>
          <w:tcPr>
            <w:tcW w:w="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of Common Stock Beneficially Owned After the Completion of the Offering (2)</w:t>
            </w:r>
          </w:p>
        </w:tc>
        <w:tc>
          <w:tcPr>
            <w:tcW w:w="438" w:type="dxa"/>
            <w:tcBorders/>
            <w:vAlign w:val="center"/>
          </w:tcPr>
          <w:p>
            <w:pPr>
              <w:pStyle w:val="TableContents"/>
              <w:bidi w:val="0"/>
              <w:spacing w:before="0" w:after="283"/>
              <w:jc w:val="left"/>
              <w:rPr/>
            </w:pPr>
            <w:r>
              <w:rPr/>
              <w:t> </w:t>
            </w:r>
          </w:p>
        </w:tc>
      </w:tr>
      <w:tr>
        <w:trPr/>
        <w:tc>
          <w:tcPr>
            <w:tcW w:w="11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616"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center"/>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5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Being Offered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682" w:type="dxa"/>
            <w:tcBorders/>
            <w:vAlign w:val="center"/>
          </w:tcPr>
          <w:p>
            <w:pPr>
              <w:pStyle w:val="TableContents"/>
              <w:bidi w:val="0"/>
              <w:spacing w:before="0" w:after="283"/>
              <w:jc w:val="center"/>
              <w:rPr/>
            </w:pPr>
            <w:r>
              <w:rPr/>
              <w:t> </w:t>
            </w:r>
          </w:p>
        </w:tc>
        <w:tc>
          <w:tcPr>
            <w:tcW w:w="92" w:type="dxa"/>
            <w:tcBorders/>
            <w:vAlign w:val="center"/>
          </w:tcPr>
          <w:p>
            <w:pPr>
              <w:pStyle w:val="TableContents"/>
              <w:bidi w:val="0"/>
              <w:spacing w:before="0" w:after="283"/>
              <w:jc w:val="center"/>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438" w:type="dxa"/>
            <w:tcBorders/>
            <w:vAlign w:val="center"/>
          </w:tcPr>
          <w:p>
            <w:pPr>
              <w:pStyle w:val="TableContents"/>
              <w:bidi w:val="0"/>
              <w:spacing w:before="0" w:after="283"/>
              <w:jc w:val="center"/>
              <w:rPr/>
            </w:pPr>
            <w:r>
              <w:rPr/>
              <w:t> </w:t>
            </w:r>
          </w:p>
        </w:tc>
      </w:tr>
      <w:tr>
        <w:trPr/>
        <w:tc>
          <w:tcPr>
            <w:tcW w:w="1197" w:type="dxa"/>
            <w:tcBorders/>
            <w:shd w:fill="CCEEFF" w:val="clear"/>
            <w:vAlign w:val="center"/>
          </w:tcPr>
          <w:p>
            <w:pPr>
              <w:pStyle w:val="TableContents"/>
              <w:bidi w:val="0"/>
              <w:spacing w:before="0" w:after="283"/>
              <w:jc w:val="left"/>
              <w:rPr/>
            </w:pPr>
            <w:r>
              <w:rPr/>
              <w:t xml:space="preserve">Armistice Capital, LLC (3)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580,000</w:t>
            </w:r>
          </w:p>
        </w:tc>
        <w:tc>
          <w:tcPr>
            <w:tcW w:w="616" w:type="dxa"/>
            <w:tcBorders/>
            <w:shd w:fill="CCEEFF" w:val="clear"/>
            <w:vAlign w:val="center"/>
          </w:tcPr>
          <w:p>
            <w:pPr>
              <w:pStyle w:val="TableContents"/>
              <w:bidi w:val="0"/>
              <w:spacing w:before="0" w:after="283"/>
              <w:jc w:val="left"/>
              <w:rPr/>
            </w:pPr>
            <w:r>
              <w:rPr/>
              <w:t xml:space="preserve">(3A) </w:t>
            </w:r>
          </w:p>
        </w:tc>
        <w:tc>
          <w:tcPr>
            <w:tcW w:w="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26.0</w:t>
            </w:r>
          </w:p>
        </w:tc>
        <w:tc>
          <w:tcPr>
            <w:tcW w:w="594" w:type="dxa"/>
            <w:tcBorders/>
            <w:shd w:fill="CCEEFF" w:val="clear"/>
            <w:vAlign w:val="center"/>
          </w:tcPr>
          <w:p>
            <w:pPr>
              <w:pStyle w:val="TableContents"/>
              <w:bidi w:val="0"/>
              <w:spacing w:before="0" w:after="283"/>
              <w:jc w:val="left"/>
              <w:rPr/>
            </w:pPr>
            <w:r>
              <w:rPr/>
              <w:t xml:space="preserve">%(3B)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580,000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xml:space="preserve">— </w:t>
            </w:r>
          </w:p>
        </w:tc>
        <w:tc>
          <w:tcPr>
            <w:tcW w:w="682" w:type="dxa"/>
            <w:tcBorders/>
            <w:shd w:fill="CCEEFF" w:val="clear"/>
            <w:vAlign w:val="center"/>
          </w:tcPr>
          <w:p>
            <w:pPr>
              <w:pStyle w:val="TableContents"/>
              <w:bidi w:val="0"/>
              <w:spacing w:before="0" w:after="283"/>
              <w:jc w:val="left"/>
              <w:rPr/>
            </w:pPr>
            <w:r>
              <w:rPr/>
              <w:t xml:space="preserve">(3C) </w:t>
            </w:r>
          </w:p>
        </w:tc>
        <w:tc>
          <w:tcPr>
            <w:tcW w:w="92"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438" w:type="dxa"/>
            <w:tcBorders/>
            <w:shd w:fill="CCEEFF" w:val="clear"/>
            <w:vAlign w:val="center"/>
          </w:tcPr>
          <w:p>
            <w:pPr>
              <w:pStyle w:val="TableContents"/>
              <w:bidi w:val="0"/>
              <w:spacing w:before="0" w:after="283"/>
              <w:jc w:val="left"/>
              <w:rPr/>
            </w:pPr>
            <w:r>
              <w:rPr/>
              <w:t xml:space="preserve">(3D) </w:t>
            </w:r>
          </w:p>
        </w:tc>
      </w:tr>
      <w:tr>
        <w:trPr/>
        <w:tc>
          <w:tcPr>
            <w:tcW w:w="1197" w:type="dxa"/>
            <w:tcBorders/>
            <w:shd w:fill="FFFFFF" w:val="clear"/>
            <w:vAlign w:val="center"/>
          </w:tcPr>
          <w:p>
            <w:pPr>
              <w:pStyle w:val="TableContents"/>
              <w:bidi w:val="0"/>
              <w:spacing w:before="0" w:after="283"/>
              <w:jc w:val="left"/>
              <w:rPr/>
            </w:pPr>
            <w:r>
              <w:rPr/>
              <w:t xml:space="preserve">Dr. Hing C. Wong (4)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125,845</w:t>
            </w:r>
          </w:p>
        </w:tc>
        <w:tc>
          <w:tcPr>
            <w:tcW w:w="61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6.0</w:t>
            </w:r>
          </w:p>
        </w:tc>
        <w:tc>
          <w:tcPr>
            <w:tcW w:w="59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23,210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102,635</w:t>
            </w:r>
          </w:p>
        </w:tc>
        <w:tc>
          <w:tcPr>
            <w:tcW w:w="68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5.0</w:t>
            </w:r>
          </w:p>
        </w:tc>
        <w:tc>
          <w:tcPr>
            <w:tcW w:w="438" w:type="dxa"/>
            <w:tcBorders/>
            <w:shd w:fill="FFFFFF" w:val="clear"/>
            <w:vAlign w:val="center"/>
          </w:tcPr>
          <w:p>
            <w:pPr>
              <w:pStyle w:val="TableContents"/>
              <w:bidi w:val="0"/>
              <w:spacing w:before="0" w:after="283"/>
              <w:jc w:val="left"/>
              <w:rPr/>
            </w:pPr>
            <w:r>
              <w:rPr/>
              <w:t>%</w:t>
            </w:r>
          </w:p>
        </w:tc>
      </w:tr>
      <w:tr>
        <w:trPr/>
        <w:tc>
          <w:tcPr>
            <w:tcW w:w="1197" w:type="dxa"/>
            <w:tcBorders/>
            <w:shd w:fill="CCEEFF" w:val="clear"/>
            <w:vAlign w:val="center"/>
          </w:tcPr>
          <w:p>
            <w:pPr>
              <w:pStyle w:val="TableContents"/>
              <w:bidi w:val="0"/>
              <w:spacing w:before="0" w:after="283"/>
              <w:jc w:val="left"/>
              <w:rPr/>
            </w:pPr>
            <w:r>
              <w:rPr/>
              <w:t xml:space="preserve">Scott T. Garrett (5)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41,644</w:t>
            </w:r>
          </w:p>
        </w:tc>
        <w:tc>
          <w:tcPr>
            <w:tcW w:w="61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2.0</w:t>
            </w:r>
          </w:p>
        </w:tc>
        <w:tc>
          <w:tcPr>
            <w:tcW w:w="59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7,736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33,908</w:t>
            </w:r>
          </w:p>
        </w:tc>
        <w:tc>
          <w:tcPr>
            <w:tcW w:w="68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2.0</w:t>
            </w:r>
          </w:p>
        </w:tc>
        <w:tc>
          <w:tcPr>
            <w:tcW w:w="438" w:type="dxa"/>
            <w:tcBorders/>
            <w:shd w:fill="CCEEFF" w:val="clear"/>
            <w:vAlign w:val="center"/>
          </w:tcPr>
          <w:p>
            <w:pPr>
              <w:pStyle w:val="TableContents"/>
              <w:bidi w:val="0"/>
              <w:spacing w:before="0" w:after="283"/>
              <w:jc w:val="left"/>
              <w:rPr/>
            </w:pPr>
            <w:r>
              <w:rPr/>
              <w:t>%</w:t>
            </w:r>
          </w:p>
        </w:tc>
      </w:tr>
      <w:tr>
        <w:trPr/>
        <w:tc>
          <w:tcPr>
            <w:tcW w:w="1197" w:type="dxa"/>
            <w:tcBorders/>
            <w:shd w:fill="FFFFFF" w:val="clear"/>
            <w:vAlign w:val="center"/>
          </w:tcPr>
          <w:p>
            <w:pPr>
              <w:pStyle w:val="TableContents"/>
              <w:bidi w:val="0"/>
              <w:spacing w:before="0" w:after="283"/>
              <w:jc w:val="left"/>
              <w:rPr/>
            </w:pPr>
            <w:r>
              <w:rPr/>
              <w:t xml:space="preserve">Lee Flowers (6)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xml:space="preserve">8,691 </w:t>
            </w:r>
          </w:p>
        </w:tc>
        <w:tc>
          <w:tcPr>
            <w:tcW w:w="61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7,736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 xml:space="preserve">955 </w:t>
            </w:r>
          </w:p>
        </w:tc>
        <w:tc>
          <w:tcPr>
            <w:tcW w:w="68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43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beneficial ownership of less than one percent based on 2,236,324 shares, comprised of 1,836,324 shares issued and outstanding on August 17, 2026, including 218,682 shares issued at closing of the July 2026 PIPE Transaction, plus up to 400,000 shares issuable upon the exercise of Pre-Funded Warrants. The July 2026 Common Warrants to purchase up to 618,682 shares of Common Stock will be issued following receipt of the stockholder approval required pursuant to Nasdaq Listing Rule 5635(d), and are not included in this table.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prior to the offering assumes selling stockholders hold all of the shares of Common Stock being registered for resale by this prospectus other than the 618,682 shares of Common Stock issuable upon exercise of the July 2026 Common Warrants, issuance of which is subject to receipt of stockholder approval required pursuant to Nasdaq Listing Rule 5635(d). For officers and directors of the Company, beneficial ownership reports all shares held by such persons, including securities acquired in the July 2026 PIPE Transaction. The percentages shown are based on 2,236,324 shares of Common Stock outstanding as of August 20, 2026, including 218,682 shares issued at the closing of the PIPE Transaction on July 29, 2026, and 400,000 shares issuable upon exercise of Pre-Funded Warrants.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assuming receipt of stockholder approval for issuance of the July 2026 Common Warrants and including all 618,682 shares of Common Stock issuable upon exercise of the July 2026 Common Warrants, 2,855,006 shares of Common Stock would be outstanding. The beneficial ownership by the selling stockholders prior to the offering, with 2,855,066 shares outstanding, would be as follows:  </w:t>
            </w:r>
          </w:p>
        </w:tc>
      </w:tr>
    </w:tbl>
    <w:p>
      <w:pPr>
        <w:pStyle w:val="TextBody"/>
        <w:bidi w:val="0"/>
        <w:jc w:val="center"/>
        <w:rPr/>
      </w:pPr>
      <w:r>
        <w:rPr/>
        <w:t> </w:t>
      </w:r>
    </w:p>
    <w:tbl>
      <w:tblPr>
        <w:tblW w:w="9326" w:type="dxa"/>
        <w:jc w:val="center"/>
        <w:tblInd w:w="0" w:type="dxa"/>
        <w:tblLayout w:type="fixed"/>
        <w:tblCellMar>
          <w:top w:w="0" w:type="dxa"/>
          <w:left w:w="0" w:type="dxa"/>
          <w:bottom w:w="0" w:type="dxa"/>
          <w:right w:w="0" w:type="dxa"/>
        </w:tblCellMar>
      </w:tblPr>
      <w:tblGrid>
        <w:gridCol w:w="2270"/>
        <w:gridCol w:w="60"/>
        <w:gridCol w:w="244"/>
        <w:gridCol w:w="3996"/>
        <w:gridCol w:w="244"/>
        <w:gridCol w:w="244"/>
        <w:gridCol w:w="244"/>
        <w:gridCol w:w="1794"/>
        <w:gridCol w:w="230"/>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6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of Common Stock Beneficially Owned Prior to the Offering</w:t>
            </w:r>
          </w:p>
        </w:tc>
        <w:tc>
          <w:tcPr>
            <w:tcW w:w="23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244"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20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Armistice Capital, LLC</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3996" w:type="dxa"/>
            <w:tcBorders/>
            <w:shd w:fill="CCEEFF" w:val="clear"/>
            <w:vAlign w:val="center"/>
          </w:tcPr>
          <w:p>
            <w:pPr>
              <w:pStyle w:val="TableContents"/>
              <w:bidi w:val="0"/>
              <w:spacing w:before="0" w:after="283"/>
              <w:jc w:val="right"/>
              <w:rPr/>
            </w:pPr>
            <w:r>
              <w:rPr/>
              <w:t>1,160,000</w:t>
            </w:r>
          </w:p>
        </w:tc>
        <w:tc>
          <w:tcPr>
            <w:tcW w:w="24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94" w:type="dxa"/>
            <w:tcBorders/>
            <w:shd w:fill="CCEEFF" w:val="clear"/>
            <w:vAlign w:val="center"/>
          </w:tcPr>
          <w:p>
            <w:pPr>
              <w:pStyle w:val="TableContents"/>
              <w:bidi w:val="0"/>
              <w:spacing w:before="0" w:after="283"/>
              <w:jc w:val="right"/>
              <w:rPr/>
            </w:pPr>
            <w:r>
              <w:rPr/>
              <w:t>41.0</w:t>
            </w:r>
          </w:p>
        </w:tc>
        <w:tc>
          <w:tcPr>
            <w:tcW w:w="230" w:type="dxa"/>
            <w:tcBorders/>
            <w:shd w:fill="CCEEFF" w:val="clear"/>
            <w:vAlign w:val="center"/>
          </w:tcPr>
          <w:p>
            <w:pPr>
              <w:pStyle w:val="TableContents"/>
              <w:bidi w:val="0"/>
              <w:spacing w:before="0" w:after="283"/>
              <w:jc w:val="left"/>
              <w:rPr/>
            </w:pPr>
            <w:r>
              <w:rPr/>
              <w:t>%</w:t>
            </w:r>
          </w:p>
        </w:tc>
      </w:tr>
      <w:tr>
        <w:trPr/>
        <w:tc>
          <w:tcPr>
            <w:tcW w:w="2270" w:type="dxa"/>
            <w:tcBorders/>
            <w:shd w:fill="FFFFFF" w:val="clear"/>
            <w:vAlign w:val="center"/>
          </w:tcPr>
          <w:p>
            <w:pPr>
              <w:pStyle w:val="TableContents"/>
              <w:bidi w:val="0"/>
              <w:spacing w:before="0" w:after="283"/>
              <w:jc w:val="left"/>
              <w:rPr/>
            </w:pPr>
            <w:r>
              <w:rPr/>
              <w:t>Dr. Hing C. Wong</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3996" w:type="dxa"/>
            <w:tcBorders/>
            <w:shd w:fill="FFFFFF" w:val="clear"/>
            <w:vAlign w:val="center"/>
          </w:tcPr>
          <w:p>
            <w:pPr>
              <w:pStyle w:val="TableContents"/>
              <w:bidi w:val="0"/>
              <w:spacing w:before="0" w:after="283"/>
              <w:jc w:val="right"/>
              <w:rPr/>
            </w:pPr>
            <w:r>
              <w:rPr/>
              <w:t>149,055</w:t>
            </w:r>
          </w:p>
        </w:tc>
        <w:tc>
          <w:tcPr>
            <w:tcW w:w="244"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94" w:type="dxa"/>
            <w:tcBorders/>
            <w:shd w:fill="FFFFFF" w:val="clear"/>
            <w:vAlign w:val="center"/>
          </w:tcPr>
          <w:p>
            <w:pPr>
              <w:pStyle w:val="TableContents"/>
              <w:bidi w:val="0"/>
              <w:spacing w:before="0" w:after="283"/>
              <w:jc w:val="right"/>
              <w:rPr/>
            </w:pPr>
            <w:r>
              <w:rPr/>
              <w:t>5.0</w:t>
            </w:r>
          </w:p>
        </w:tc>
        <w:tc>
          <w:tcPr>
            <w:tcW w:w="230" w:type="dxa"/>
            <w:tcBorders/>
            <w:shd w:fill="FFFFFF" w:val="clear"/>
            <w:vAlign w:val="center"/>
          </w:tcPr>
          <w:p>
            <w:pPr>
              <w:pStyle w:val="TableContents"/>
              <w:bidi w:val="0"/>
              <w:spacing w:before="0" w:after="283"/>
              <w:jc w:val="left"/>
              <w:rPr/>
            </w:pPr>
            <w:r>
              <w:rPr/>
              <w:t>%</w:t>
            </w:r>
          </w:p>
        </w:tc>
      </w:tr>
      <w:tr>
        <w:trPr/>
        <w:tc>
          <w:tcPr>
            <w:tcW w:w="2270" w:type="dxa"/>
            <w:tcBorders/>
            <w:shd w:fill="CCEEFF" w:val="clear"/>
            <w:vAlign w:val="center"/>
          </w:tcPr>
          <w:p>
            <w:pPr>
              <w:pStyle w:val="TableContents"/>
              <w:bidi w:val="0"/>
              <w:spacing w:before="0" w:after="283"/>
              <w:jc w:val="left"/>
              <w:rPr/>
            </w:pPr>
            <w:r>
              <w:rPr/>
              <w:t>Scott T. Garrett</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3996" w:type="dxa"/>
            <w:tcBorders/>
            <w:shd w:fill="CCEEFF" w:val="clear"/>
            <w:vAlign w:val="center"/>
          </w:tcPr>
          <w:p>
            <w:pPr>
              <w:pStyle w:val="TableContents"/>
              <w:bidi w:val="0"/>
              <w:spacing w:before="0" w:after="283"/>
              <w:jc w:val="right"/>
              <w:rPr/>
            </w:pPr>
            <w:r>
              <w:rPr/>
              <w:t>49,380</w:t>
            </w:r>
          </w:p>
        </w:tc>
        <w:tc>
          <w:tcPr>
            <w:tcW w:w="24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94" w:type="dxa"/>
            <w:tcBorders/>
            <w:shd w:fill="CCEEFF" w:val="clear"/>
            <w:vAlign w:val="center"/>
          </w:tcPr>
          <w:p>
            <w:pPr>
              <w:pStyle w:val="TableContents"/>
              <w:bidi w:val="0"/>
              <w:spacing w:before="0" w:after="283"/>
              <w:jc w:val="right"/>
              <w:rPr/>
            </w:pPr>
            <w:r>
              <w:rPr/>
              <w:t>2.0</w:t>
            </w:r>
          </w:p>
        </w:tc>
        <w:tc>
          <w:tcPr>
            <w:tcW w:w="230" w:type="dxa"/>
            <w:tcBorders/>
            <w:shd w:fill="CCEEFF" w:val="clear"/>
            <w:vAlign w:val="center"/>
          </w:tcPr>
          <w:p>
            <w:pPr>
              <w:pStyle w:val="TableContents"/>
              <w:bidi w:val="0"/>
              <w:spacing w:before="0" w:after="283"/>
              <w:jc w:val="left"/>
              <w:rPr/>
            </w:pPr>
            <w:r>
              <w:rPr/>
              <w:t>%</w:t>
            </w:r>
          </w:p>
        </w:tc>
      </w:tr>
      <w:tr>
        <w:trPr/>
        <w:tc>
          <w:tcPr>
            <w:tcW w:w="2270" w:type="dxa"/>
            <w:tcBorders/>
            <w:shd w:fill="FFFFFF" w:val="clear"/>
            <w:vAlign w:val="center"/>
          </w:tcPr>
          <w:p>
            <w:pPr>
              <w:pStyle w:val="TableContents"/>
              <w:bidi w:val="0"/>
              <w:spacing w:before="0" w:after="283"/>
              <w:jc w:val="left"/>
              <w:rPr/>
            </w:pPr>
            <w:r>
              <w:rPr/>
              <w:t>Lee Flowers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3996" w:type="dxa"/>
            <w:tcBorders/>
            <w:shd w:fill="FFFFFF" w:val="clear"/>
            <w:vAlign w:val="center"/>
          </w:tcPr>
          <w:p>
            <w:pPr>
              <w:pStyle w:val="TableContents"/>
              <w:bidi w:val="0"/>
              <w:spacing w:before="0" w:after="283"/>
              <w:jc w:val="right"/>
              <w:rPr/>
            </w:pPr>
            <w:r>
              <w:rPr/>
              <w:t xml:space="preserve">16,427 </w:t>
            </w:r>
          </w:p>
        </w:tc>
        <w:tc>
          <w:tcPr>
            <w:tcW w:w="244"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94" w:type="dxa"/>
            <w:tcBorders/>
            <w:shd w:fill="FFFFFF" w:val="clear"/>
            <w:vAlign w:val="center"/>
          </w:tcPr>
          <w:p>
            <w:pPr>
              <w:pStyle w:val="TableContents"/>
              <w:bidi w:val="0"/>
              <w:spacing w:before="0" w:after="283"/>
              <w:jc w:val="right"/>
              <w:rPr/>
            </w:pPr>
            <w:r>
              <w:rPr/>
              <w:t>1.0</w:t>
            </w:r>
          </w:p>
        </w:tc>
        <w:tc>
          <w:tcPr>
            <w:tcW w:w="230" w:type="dxa"/>
            <w:tcBorders/>
            <w:shd w:fill="FFFFFF" w:val="clear"/>
            <w:vAlign w:val="center"/>
          </w:tcPr>
          <w:p>
            <w:pPr>
              <w:pStyle w:val="TableContents"/>
              <w:bidi w:val="0"/>
              <w:spacing w:before="0" w:after="283"/>
              <w:jc w:val="left"/>
              <w:rPr/>
            </w:pPr>
            <w:r>
              <w:rPr/>
              <w:t>%</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after the completion of the offering assumes the sale of all shares of Common Stock being registered for resale by this prospectus, including shares issued in the July 2026 PIPE Transaction and shares issuable upon exercise of the Pre-Funded Warrants, but excluding shares issuable upon exercise of the July 2026 Common Warrants, issuance of which is subject to receipt of the stockholder approval required pursuant to Nasdaq Listing Rule 5635(d). The selling stockholders may sell all, some, or none of the shares offered under this prospectus, subject to ownership restrictions for Armistice described below. The percentages shown are based on 2,236,324 shares of Common Stock outstanding, as adjusted for the July 2026 PIPE Transaction and the securities issued thereunder.</w:t>
            </w:r>
          </w:p>
        </w:tc>
      </w:tr>
      <w:tr>
        <w:trPr/>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directly held by Armistice Capital Master Fund Ltd., a Cayman Islands exempted company (the “Master Fund”). Armistice Capital, LLC (“Armistice”), as the investment manager of the Master Fund, and Steven Boyd, as the Managing Member of Armistice, may be deemed to beneficially own the securities held by the Master Fund. The securities issuable upon exercise of the July 2026 Common Warrants are subject to a beneficial ownership limitation of 4.99%, and the securities issuable upon exercise of the Pre-Funded Warrants are subject to a beneficial ownership limitation of 9.99%, in each case such that the holder may not exercise such warrants to the extent that, after giving effect to such exercise, it would beneficially own more than the applicable percentage of the outstanding shares of Common Stock. The address of Armistice Capital Master Fund Ltd. is c/o Armistice Capital, LLC, 510 Madison Avenue, 7th Floor, New York, New York 10022.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and ownership percentages presented for Armistice in this table assumes, solely for illustrative purposes, the full exercise of the Pre-Funded Warrants (but not the July 2026 Common Warrants) without regard to the beneficial ownership limitations described above. The number of shares shown as beneficially owned after completion of the offering may differ from the actual number of shares the selling stockholder could own from time to time and are subject to an ownership blocker, as discussed below. Notwithstanding these amounts, Armistice is subject to a 4.99% or 9.99%, as applicable, beneficial ownership limitation that contractually prohibits Armistice from acquiring or holding shares of our Common Stock in excess of such limitation at any time. As a result, Armistice does not beneficially own more than 4.99% of our Common Stock prior to this offering and will not beneficially own more than 4.99% (or 9.99%, as applicable) after this offering, regardless of the number of shares registered for resale. </w:t>
            </w:r>
          </w:p>
        </w:tc>
      </w:tr>
      <w:tr>
        <w:trPr/>
        <w:tc>
          <w:tcPr>
            <w:tcW w:w="341" w:type="dxa"/>
            <w:tcBorders/>
            <w:vAlign w:val="center"/>
          </w:tcPr>
          <w:p>
            <w:pPr>
              <w:pStyle w:val="TableContents"/>
              <w:bidi w:val="0"/>
              <w:spacing w:before="0" w:after="283"/>
              <w:jc w:val="left"/>
              <w:rPr>
                <w:caps w:val="false"/>
                <w:smallCaps w:val="false"/>
              </w:rPr>
            </w:pPr>
            <w:r>
              <w:rPr>
                <w:caps w:val="false"/>
                <w:smallCaps w:val="false"/>
              </w:rPr>
              <w:t> </w:t>
            </w:r>
          </w:p>
        </w:tc>
        <w:tc>
          <w:tcPr>
            <w:tcW w:w="98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(3B)</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percentage beneficial ownership amounts shown for Armistice do not reflect the contractual beneficial ownership blocker and therefore overstate Armistice’s actual beneficial ownership. Armistice’s actual beneficial ownership before and after the offering will remain at or below 4.99% or 9.99%, as applicable, because Armistice may not exercise, convert or settle any securities to the extent such action would result in ownership above the applicable limitation. Thus, the number of shares shown as beneficially owned after completion of the offering may differ from the actual number of shares the selling stockholder may own from time to time. </w:t>
            </w:r>
          </w:p>
        </w:tc>
      </w:tr>
      <w:tr>
        <w:trPr/>
        <w:tc>
          <w:tcPr>
            <w:tcW w:w="341" w:type="dxa"/>
            <w:tcBorders/>
            <w:vAlign w:val="center"/>
          </w:tcPr>
          <w:p>
            <w:pPr>
              <w:pStyle w:val="TableContents"/>
              <w:bidi w:val="0"/>
              <w:spacing w:before="0" w:after="283"/>
              <w:jc w:val="left"/>
              <w:rPr>
                <w:caps w:val="false"/>
                <w:smallCaps w:val="false"/>
              </w:rPr>
            </w:pPr>
            <w:r>
              <w:rPr>
                <w:caps w:val="false"/>
                <w:smallCaps w:val="false"/>
              </w:rPr>
              <w:t> </w:t>
            </w:r>
          </w:p>
        </w:tc>
        <w:tc>
          <w:tcPr>
            <w:tcW w:w="98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3(C)</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held and ownership percentages shown for Armistice after the offering assume that the selling stockholder has sold all shares registered in this registration statement. The number of shares shown as beneficially owned after completion of the offering may differ from the actual number of shares the selling stockholder could own from time to time and are subject to an ownership blocker, as discussed in note 3(D). </w:t>
            </w:r>
          </w:p>
        </w:tc>
      </w:tr>
      <w:tr>
        <w:trPr/>
        <w:tc>
          <w:tcPr>
            <w:tcW w:w="341" w:type="dxa"/>
            <w:tcBorders/>
            <w:vAlign w:val="center"/>
          </w:tcPr>
          <w:p>
            <w:pPr>
              <w:pStyle w:val="TableContents"/>
              <w:bidi w:val="0"/>
              <w:spacing w:before="0" w:after="283"/>
              <w:jc w:val="left"/>
              <w:rPr>
                <w:caps w:val="false"/>
                <w:smallCaps w:val="false"/>
              </w:rPr>
            </w:pPr>
            <w:r>
              <w:rPr>
                <w:caps w:val="false"/>
                <w:smallCaps w:val="false"/>
              </w:rPr>
              <w:t> </w:t>
            </w:r>
          </w:p>
        </w:tc>
        <w:tc>
          <w:tcPr>
            <w:tcW w:w="98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3(D)</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Pre-Funded Warrants are subject to beneficial ownership limitations, the number of shares shown as beneficially owned after completion of the offering may differ from the actual number of shares Armistice may own from time to time.</w:t>
            </w:r>
          </w:p>
        </w:tc>
      </w:tr>
      <w:tr>
        <w:trPr/>
        <w:tc>
          <w:tcPr>
            <w:tcW w:w="341" w:type="dxa"/>
            <w:tcBorders/>
            <w:vAlign w:val="center"/>
          </w:tcPr>
          <w:p>
            <w:pPr>
              <w:pStyle w:val="TableContents"/>
              <w:bidi w:val="0"/>
              <w:spacing w:before="0" w:after="283"/>
              <w:jc w:val="left"/>
              <w:rPr>
                <w:caps w:val="false"/>
                <w:smallCaps w:val="false"/>
              </w:rPr>
            </w:pPr>
            <w:r>
              <w:rPr>
                <w:caps w:val="false"/>
                <w:smallCaps w:val="false"/>
              </w:rPr>
              <w:t> </w:t>
            </w:r>
          </w:p>
        </w:tc>
        <w:tc>
          <w:tcPr>
            <w:tcW w:w="98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(a) 108,644 shares held directly by Dr. Hing C. Wong, including 23,210 shares purchased in connection with the July 2026 PIPE Transaction, and (b) 17,201 shares held by Dr. Hing C. Wong and Ms. Bee Yau Huang. </w:t>
            </w:r>
          </w:p>
        </w:tc>
      </w:tr>
      <w:tr>
        <w:trPr/>
        <w:tc>
          <w:tcPr>
            <w:tcW w:w="341" w:type="dxa"/>
            <w:tcBorders/>
            <w:vAlign w:val="center"/>
          </w:tcPr>
          <w:p>
            <w:pPr>
              <w:pStyle w:val="TableContents"/>
              <w:bidi w:val="0"/>
              <w:spacing w:before="0" w:after="283"/>
              <w:jc w:val="left"/>
              <w:rPr>
                <w:caps w:val="false"/>
                <w:smallCaps w:val="false"/>
              </w:rPr>
            </w:pPr>
            <w:r>
              <w:rPr>
                <w:caps w:val="false"/>
                <w:smallCaps w:val="false"/>
              </w:rPr>
              <w:t> </w:t>
            </w:r>
          </w:p>
        </w:tc>
        <w:tc>
          <w:tcPr>
            <w:tcW w:w="98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6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(a) 38,509 shares held by Garrett Capital Partners, LLC, including 7,736 shares purchased in connection with the July 2026 PIPE Transaction (Mr. Garrett is deemed to beneficially own the shares held by Garrett Capital Partners, LLC) and (b) 3,135 shares held directly by Mr. Garrett. The address for Garrett Capital Partners, LLC is 51 Pembroke Dr., Lake Forest, IL 60045. </w:t>
            </w:r>
          </w:p>
          <w:p>
            <w:pPr>
              <w:pStyle w:val="TableContents"/>
              <w:bidi w:val="0"/>
              <w:spacing w:before="0" w:after="0"/>
              <w:ind w:left="0" w:right="0" w:hanging="0"/>
              <w:jc w:val="both"/>
              <w:rPr>
                <w:caps w:val="false"/>
                <w:smallCaps w:val="false"/>
              </w:rPr>
            </w:pPr>
            <w:r>
              <w:rPr>
                <w:caps w:val="false"/>
                <w:smallCaps w:val="false"/>
              </w:rPr>
              <w:t> </w:t>
            </w:r>
          </w:p>
        </w:tc>
      </w:tr>
      <w:tr>
        <w:trPr/>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7,736 shares purchased in connection with the July 2026 PIPE Transaction held by Lee Flowers, SVP Business Development of HCW Biologics Inc.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Y-010"/>
      <w:bookmarkEnd w:id="12"/>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executive officer and director compensation arrangements discussed under “Executive Compensation” and “Director Compensation,” respectively, since August 1, 2022, the following are the only transactions or series of similar transactions to which we were or will be a party in which the amount involved exceeds the lesser of (i) $120,000 or (ii) 1% of the Company’s average total assets at year-end for the last two completed fiscal years and in which any director, nominee for director, executive officer, beneficial holder of more than 5% of our capital stock or any member of their immediate family or any entity affiliated with any of the foregoing persons had or will have a direct or indirect material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2026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29, 2026, the Company completed a private placement of an aggregate of 618,682 units at a purchase price of $2.585 per unit consisting of one share of Common Stock and the right to receive one Common Stock Purchase Warrant and $2.5849 per unit consisting of one Pre-Funded Warrant and the right to receive one Common Stock Purchase Warrant. Each unit consisted of (i) one share of Common Stock (or, in lieu thereof, one Pre-Funded Warrant with an exercise price of $0.0001 per share) and (ii) the right to receive one Common Stock Purchase Warrant to purchase one share of Common Stock, subject to stockholder approval pursuant to Nasdaq Listing Rule 5635(d). The shares of Common Stock (or Pre-Funded Warrants in lieu thereof) and the rights to receive the Common Stock Purchase Warrants comprising the units were issued separately in the private placement. The Company issued 218,682 shares of Common Stock and 400,000 Pre-Funded Warrants in the private placement for aggregate gross proceeds of approximately $1.6 million before deducting offering expenses. Following receipt of the required stockholder approval, the Company will issue Common Stock Purchase Warrants exercisable for up to an aggregate of 618,682 shares of Common Stock at an exercise price of $2.585 per share. In connection with the private placement, the Company entered into a Registration Rights Agreement pursuant to which it agreed to register for resale the shares of Common Stock issued in the offering and the shares issuable upon exercise of the Pre-Funded Warrants and Common Stock Purchase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certain of our directors and executive officers purchased an aggregate of approximately $100,000 of the securities offered. Specifically, Scott Garrett, Chairman of our board of directors, purchased $20,000 of securities, Hing C. Wong, Ph.D., our Founder and Chief Executive Officer, purchased $60,000 of securities, and Lee Flowers, our Senior Vice President of Business Development, purchased approximately $20,000 of securities. Such purchases were made on the same terms and conditions as those offered to the other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2026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21, 2026, the Company completed a private placement of an aggregate of 474,496 units at a purchase price of $8.43 per unit priced at-the-market under Nasdaq rules to a group of healthcare investors (the “Investors”). Each unit consisted of (i) one share of common stock at a purchase price of $7.68 per share (or, in lieu thereof, one pre-funded warrant at a purchase price of $7.6799 per pre-funded warrant with an exercise price of $0.0001 per share) and (ii) one warrant at a purchase price of $0.75 per warrant, each to purchase one share of common stock at an exercise price of $7.68 per share. The shares of common stock (or pre-funded warrants in lieu thereof) and the warrants comprising the units were issued separately in the private placement. (The foregoing amounts have been adjusted to reflect the Reverse Stock Split.) On June 18, 2026, the SEC declared effective a resale registration statement on Form S-1 (File Number 333-296577) covering the resale of shares of Common Stock and warrants issued in the private placement. On June 22, 2026, the holder exercised all of its Pre-Funded Warrants issued in this transaction to purchase 403,322 shares of Common Stock for $0.0001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certain of our directors and executive officers purchased an aggregate of $430,000 of the securities offered. Specifically, Scott Garrett, Chairman of our board of directors, purchased $250,000 of securities, Hing C. Wong, our Founder and Chief Executive Officer, purchased $160,000 of securities, and Rebecca Byam, our Chief Financial Officer, purchase $20,000 of securities. Such purchases were made on the same terms and conditions as those offered to other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2024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we entered into subscription agreements with certain of our officers and directors, pursuant to which we sold an aggregate of 7,441 shares of our Common Stock, as adjusted to reflect the Reverse Stock Split, $0.0001 par value per share, at a purchase price of $336.00 per share, for an aggregate purchase price of $2.5 million. (The foregoing number of shares sold and purchase price are as adjusted for the Reverse Stock Split.)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Common Stock purchased by our directors, executive officers, and beneficial owners of more than 5% of Common Stock (after adjustment for the Reverse Stock Split).</w:t>
      </w:r>
    </w:p>
    <w:p>
      <w:pPr>
        <w:pStyle w:val="TextBody"/>
        <w:bidi w:val="0"/>
        <w:spacing w:before="0" w:after="0"/>
        <w:ind w:left="0" w:right="0" w:hanging="0"/>
        <w:jc w:val="both"/>
        <w:rPr>
          <w:caps w:val="false"/>
          <w:smallCaps w:val="false"/>
        </w:rPr>
      </w:pPr>
      <w:r>
        <w:rPr>
          <w:caps w:val="false"/>
          <w:smallCaps w:val="false"/>
        </w:rPr>
        <w:t> </w:t>
      </w:r>
    </w:p>
    <w:tbl>
      <w:tblPr>
        <w:tblW w:w="7738" w:type="dxa"/>
        <w:jc w:val="center"/>
        <w:tblInd w:w="0" w:type="dxa"/>
        <w:tblLayout w:type="fixed"/>
        <w:tblCellMar>
          <w:top w:w="0" w:type="dxa"/>
          <w:left w:w="0" w:type="dxa"/>
          <w:bottom w:w="28" w:type="dxa"/>
          <w:right w:w="0" w:type="dxa"/>
        </w:tblCellMar>
      </w:tblPr>
      <w:tblGrid>
        <w:gridCol w:w="4325"/>
        <w:gridCol w:w="60"/>
        <w:gridCol w:w="153"/>
        <w:gridCol w:w="1441"/>
        <w:gridCol w:w="60"/>
        <w:gridCol w:w="60"/>
        <w:gridCol w:w="154"/>
        <w:gridCol w:w="1410"/>
        <w:gridCol w:w="75"/>
      </w:tblGrid>
      <w:tr>
        <w:trPr/>
        <w:tc>
          <w:tcPr>
            <w:tcW w:w="4325" w:type="dxa"/>
            <w:tcBorders>
              <w:bottom w:val="single" w:sz="8" w:space="0" w:color="000000"/>
            </w:tcBorders>
            <w:vAlign w:val="center"/>
          </w:tcPr>
          <w:p>
            <w:pPr>
              <w:pStyle w:val="TableContents"/>
              <w:bidi w:val="0"/>
              <w:spacing w:before="0" w:after="283"/>
              <w:jc w:val="both"/>
              <w:rPr>
                <w:b/>
              </w:rPr>
            </w:pPr>
            <w:r>
              <w:rPr>
                <w:b/>
              </w:rPr>
              <w:t>Name and Title</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8" w:space="0" w:color="000000"/>
            </w:tcBorders>
            <w:vAlign w:val="center"/>
          </w:tcPr>
          <w:p>
            <w:pPr>
              <w:pStyle w:val="TableContents"/>
              <w:bidi w:val="0"/>
              <w:spacing w:before="0" w:after="283"/>
              <w:jc w:val="center"/>
              <w:rPr>
                <w:b/>
              </w:rPr>
            </w:pPr>
            <w:r>
              <w:rPr>
                <w:b/>
              </w:rPr>
              <w:t>Shares of</w:t>
              <w:br/>
              <w:t>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4" w:type="dxa"/>
            <w:gridSpan w:val="2"/>
            <w:tcBorders>
              <w:bottom w:val="single" w:sz="8" w:space="0" w:color="000000"/>
            </w:tcBorders>
            <w:vAlign w:val="center"/>
          </w:tcPr>
          <w:p>
            <w:pPr>
              <w:pStyle w:val="TableContents"/>
              <w:bidi w:val="0"/>
              <w:spacing w:before="0" w:after="283"/>
              <w:jc w:val="center"/>
              <w:rPr>
                <w:b/>
              </w:rPr>
            </w:pPr>
            <w:r>
              <w:rPr>
                <w:b/>
              </w:rPr>
              <w:t>Total Purchase</w:t>
              <w:br/>
              <w:t>Price</w:t>
            </w:r>
          </w:p>
        </w:tc>
        <w:tc>
          <w:tcPr>
            <w:tcW w:w="75" w:type="dxa"/>
            <w:tcBorders/>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left"/>
              <w:rPr/>
            </w:pPr>
            <w:r>
              <w:rPr/>
              <w:t>Rebecca Byam,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3,170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p>
        </w:tc>
        <w:tc>
          <w:tcPr>
            <w:tcW w:w="1410" w:type="dxa"/>
            <w:tcBorders/>
            <w:shd w:fill="CCEEFF" w:val="clear"/>
            <w:tcMar>
              <w:bottom w:w="0" w:type="dxa"/>
            </w:tcMar>
            <w:vAlign w:val="center"/>
          </w:tcPr>
          <w:p>
            <w:pPr>
              <w:pStyle w:val="TableContents"/>
              <w:bidi w:val="0"/>
              <w:spacing w:before="0" w:after="283"/>
              <w:jc w:val="right"/>
              <w:rPr/>
            </w:pPr>
            <w:r>
              <w:rPr/>
              <w:t>1,064,999.60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left"/>
              <w:rPr/>
            </w:pPr>
            <w:r>
              <w:rPr/>
              <w:t>Dr. Hing C. Wong,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3,081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w:t>
            </w:r>
          </w:p>
        </w:tc>
        <w:tc>
          <w:tcPr>
            <w:tcW w:w="1410" w:type="dxa"/>
            <w:tcBorders/>
            <w:shd w:fill="FFFFFF" w:val="clear"/>
            <w:tcMar>
              <w:bottom w:w="0" w:type="dxa"/>
            </w:tcMar>
            <w:vAlign w:val="center"/>
          </w:tcPr>
          <w:p>
            <w:pPr>
              <w:pStyle w:val="TableContents"/>
              <w:bidi w:val="0"/>
              <w:spacing w:before="0" w:after="283"/>
              <w:jc w:val="right"/>
              <w:rPr/>
            </w:pPr>
            <w:r>
              <w:rPr/>
              <w:t>1,035,003.20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left"/>
              <w:rPr/>
            </w:pPr>
            <w:r>
              <w:rPr/>
              <w:t>Scott Garrett, Chairman of the Board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596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p>
        </w:tc>
        <w:tc>
          <w:tcPr>
            <w:tcW w:w="1410" w:type="dxa"/>
            <w:tcBorders/>
            <w:shd w:fill="CCEEFF" w:val="clear"/>
            <w:tcMar>
              <w:bottom w:w="0" w:type="dxa"/>
            </w:tcMar>
            <w:vAlign w:val="center"/>
          </w:tcPr>
          <w:p>
            <w:pPr>
              <w:pStyle w:val="TableContents"/>
              <w:bidi w:val="0"/>
              <w:spacing w:before="0" w:after="283"/>
              <w:jc w:val="right"/>
              <w:rPr/>
            </w:pPr>
            <w:r>
              <w:rPr/>
              <w:t>200,001.20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140"/>
        <w:gridCol w:w="461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 of more than 5% of the Common Stock</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not be sold or transferred except as permitted under law and pursuant to registration or exemption therefrom. The Board of Directors and Audit Committee of the Board of Directors reviewed the transaction under the policy for Related Party Transactions and determined that the transaction was in compliance with such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Note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31, 2024, we received approximately $6.9 million from the issuance of senior secured notes to certain accredited investors (the “Secured Notes”). Of the total issuance of Secured Notes, the Company issued $2.9 million to members of the Company’s board of directors and officers, including $2.4 million purchased by Dr. Hing C. Wong, Founder and CEO, $220,000 purchased by Rebecca Byam, Chief Financial Officer, $140,000 purchased by Scott T. Garrett, Chairman of the board of directors, $60,000 purchased by Gary M. Winer, a former member of the board of directors, $25,000 purchased by Lee Flowers, Senior Vice President for Business Development, and $25,000 purchased by Rick S. Greene, member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aggregate principal amounts of Secured Notes purchased by our directors, executive officers, and beneficial owners of more than 5% of Common Stock at par.</w:t>
      </w:r>
    </w:p>
    <w:p>
      <w:pPr>
        <w:pStyle w:val="TextBody"/>
        <w:bidi w:val="0"/>
        <w:spacing w:before="0" w:after="0"/>
        <w:ind w:left="0" w:right="0" w:hanging="0"/>
        <w:jc w:val="both"/>
        <w:rPr>
          <w:caps w:val="false"/>
          <w:smallCaps w:val="false"/>
        </w:rPr>
      </w:pPr>
      <w:r>
        <w:rPr>
          <w:caps w:val="false"/>
          <w:smallCaps w:val="false"/>
        </w:rPr>
        <w:t> </w:t>
      </w:r>
    </w:p>
    <w:tbl>
      <w:tblPr>
        <w:tblW w:w="7149" w:type="dxa"/>
        <w:jc w:val="left"/>
        <w:tblInd w:w="0" w:type="dxa"/>
        <w:tblLayout w:type="fixed"/>
        <w:tblCellMar>
          <w:top w:w="0" w:type="dxa"/>
          <w:left w:w="0" w:type="dxa"/>
          <w:bottom w:w="28" w:type="dxa"/>
          <w:right w:w="0" w:type="dxa"/>
        </w:tblCellMar>
      </w:tblPr>
      <w:tblGrid>
        <w:gridCol w:w="4880"/>
        <w:gridCol w:w="60"/>
        <w:gridCol w:w="266"/>
        <w:gridCol w:w="1868"/>
        <w:gridCol w:w="75"/>
      </w:tblGrid>
      <w:tr>
        <w:trPr/>
        <w:tc>
          <w:tcPr>
            <w:tcW w:w="4880" w:type="dxa"/>
            <w:tcBorders>
              <w:bottom w:val="single" w:sz="8" w:space="0" w:color="000000"/>
            </w:tcBorders>
            <w:vAlign w:val="center"/>
          </w:tcPr>
          <w:p>
            <w:pPr>
              <w:pStyle w:val="TableContents"/>
              <w:bidi w:val="0"/>
              <w:spacing w:before="0" w:after="283"/>
              <w:jc w:val="both"/>
              <w:rPr>
                <w:b/>
              </w:rPr>
            </w:pPr>
            <w:r>
              <w:rPr>
                <w:b/>
              </w:rPr>
              <w:t>Name and Title</w:t>
            </w:r>
          </w:p>
        </w:tc>
        <w:tc>
          <w:tcPr>
            <w:tcW w:w="60" w:type="dxa"/>
            <w:tcBorders/>
            <w:tcMar>
              <w:bottom w:w="0" w:type="dxa"/>
            </w:tcMar>
            <w:vAlign w:val="center"/>
          </w:tcPr>
          <w:p>
            <w:pPr>
              <w:pStyle w:val="TableContents"/>
              <w:bidi w:val="0"/>
              <w:spacing w:before="0" w:after="283"/>
              <w:jc w:val="left"/>
              <w:rPr/>
            </w:pPr>
            <w:r>
              <w:rPr/>
              <w:t> </w:t>
            </w:r>
          </w:p>
        </w:tc>
        <w:tc>
          <w:tcPr>
            <w:tcW w:w="213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Principal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 Secured Notes</w:t>
            </w:r>
          </w:p>
        </w:tc>
        <w:tc>
          <w:tcPr>
            <w:tcW w:w="75" w:type="dxa"/>
            <w:tcBorders/>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pPr>
            <w:r>
              <w:rPr/>
              <w:t>Dr. Hing C. Wong,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w:t>
            </w:r>
          </w:p>
        </w:tc>
        <w:tc>
          <w:tcPr>
            <w:tcW w:w="1868" w:type="dxa"/>
            <w:tcBorders/>
            <w:shd w:fill="CCEEFF" w:val="clear"/>
            <w:tcMar>
              <w:bottom w:w="0" w:type="dxa"/>
            </w:tcMar>
            <w:vAlign w:val="center"/>
          </w:tcPr>
          <w:p>
            <w:pPr>
              <w:pStyle w:val="TableContents"/>
              <w:bidi w:val="0"/>
              <w:spacing w:before="0" w:after="283"/>
              <w:jc w:val="right"/>
              <w:rPr/>
            </w:pPr>
            <w:r>
              <w:rPr/>
              <w:t>2,405,000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pPr>
            <w:r>
              <w:rPr/>
              <w:t>Rebecca Byam,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pPr>
            <w:r>
              <w:rPr/>
              <w:t>$</w:t>
            </w:r>
          </w:p>
        </w:tc>
        <w:tc>
          <w:tcPr>
            <w:tcW w:w="1868" w:type="dxa"/>
            <w:tcBorders/>
            <w:shd w:fill="FFFFFF" w:val="clear"/>
            <w:tcMar>
              <w:bottom w:w="0" w:type="dxa"/>
            </w:tcMar>
            <w:vAlign w:val="center"/>
          </w:tcPr>
          <w:p>
            <w:pPr>
              <w:pStyle w:val="TableContents"/>
              <w:bidi w:val="0"/>
              <w:spacing w:before="0" w:after="283"/>
              <w:jc w:val="right"/>
              <w:rPr/>
            </w:pPr>
            <w:r>
              <w:rPr/>
              <w:t>220,000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pPr>
            <w:r>
              <w:rPr/>
              <w:t>Scott T. Garrett, Chairman of the board of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w:t>
            </w:r>
          </w:p>
        </w:tc>
        <w:tc>
          <w:tcPr>
            <w:tcW w:w="1868" w:type="dxa"/>
            <w:tcBorders/>
            <w:shd w:fill="CCEEFF" w:val="clear"/>
            <w:tcMar>
              <w:bottom w:w="0" w:type="dxa"/>
            </w:tcMar>
            <w:vAlign w:val="center"/>
          </w:tcPr>
          <w:p>
            <w:pPr>
              <w:pStyle w:val="TableContents"/>
              <w:bidi w:val="0"/>
              <w:spacing w:before="0" w:after="283"/>
              <w:jc w:val="right"/>
              <w:rPr/>
            </w:pPr>
            <w:r>
              <w:rPr/>
              <w:t>140,000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pPr>
            <w:r>
              <w:rPr/>
              <w:t>Gary M. Winer, Former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pPr>
            <w:r>
              <w:rPr/>
              <w:t>$</w:t>
            </w:r>
          </w:p>
        </w:tc>
        <w:tc>
          <w:tcPr>
            <w:tcW w:w="1868" w:type="dxa"/>
            <w:tcBorders/>
            <w:shd w:fill="FFFFFF" w:val="clear"/>
            <w:tcMar>
              <w:bottom w:w="0" w:type="dxa"/>
            </w:tcMar>
            <w:vAlign w:val="center"/>
          </w:tcPr>
          <w:p>
            <w:pPr>
              <w:pStyle w:val="TableContents"/>
              <w:bidi w:val="0"/>
              <w:spacing w:before="0" w:after="283"/>
              <w:jc w:val="right"/>
              <w:rPr/>
            </w:pPr>
            <w:r>
              <w:rPr/>
              <w:t>60,000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pPr>
            <w:r>
              <w:rPr/>
              <w:t>Lee Flowers, Senior Vice President for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 </w:t>
            </w:r>
          </w:p>
        </w:tc>
        <w:tc>
          <w:tcPr>
            <w:tcW w:w="186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pPr>
            <w:r>
              <w:rPr/>
              <w:t>Business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pPr>
            <w:r>
              <w:rPr/>
              <w:t>$</w:t>
            </w:r>
          </w:p>
        </w:tc>
        <w:tc>
          <w:tcPr>
            <w:tcW w:w="1868" w:type="dxa"/>
            <w:tcBorders/>
            <w:shd w:fill="FFFFFF" w:val="clear"/>
            <w:tcMar>
              <w:bottom w:w="0" w:type="dxa"/>
            </w:tcMar>
            <w:vAlign w:val="center"/>
          </w:tcPr>
          <w:p>
            <w:pPr>
              <w:pStyle w:val="TableContents"/>
              <w:bidi w:val="0"/>
              <w:spacing w:before="0" w:after="283"/>
              <w:jc w:val="right"/>
              <w:rPr/>
            </w:pPr>
            <w:r>
              <w:rPr/>
              <w:t>25,000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pPr>
            <w:r>
              <w:rPr/>
              <w:t>Rick S. Greene,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w:t>
            </w:r>
          </w:p>
        </w:tc>
        <w:tc>
          <w:tcPr>
            <w:tcW w:w="1868" w:type="dxa"/>
            <w:tcBorders/>
            <w:shd w:fill="CCEEFF" w:val="clear"/>
            <w:tcMar>
              <w:bottom w:w="0" w:type="dxa"/>
            </w:tcMar>
            <w:vAlign w:val="center"/>
          </w:tcPr>
          <w:p>
            <w:pPr>
              <w:pStyle w:val="TableContents"/>
              <w:bidi w:val="0"/>
              <w:spacing w:before="0" w:after="283"/>
              <w:jc w:val="right"/>
              <w:rPr/>
            </w:pPr>
            <w:r>
              <w:rPr/>
              <w:t>25,000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40"/>
        <w:gridCol w:w="462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 of more than 5% of our Common Stock</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as amended, bear interest at a rate of 9% per annum, payable quarterly in arrears, and mature on August 30, 2026 (the “Maturity Date”), on which date the principal balance and accrued but unpaid interest under the Secured Notes and a fixed bonus shall be due and payable. The Secured Notes may be prepaid in whole or in part at any time prior to the Maturity Date and are subject to a 5% prepayment penalty (“Premium Amount”). The Secured Notes are secured by the pledge of our equity ownership interest in AlloTera Therapeutics, Inc., formerly known as Wugen Inc., (the “Pledged Collateral”). Upon a qualifying event involving a transaction such as an acquisition, merger or initial public offering in which the Pledged Collateral can be sold or liquidated prior to the Maturity Date, subject to certain limitations (such as a threshold price per share in the case of an initial public offering), we have agreed to repay all indebtedness (including accrued interest) related to the Secured Notes plus a Premium Amount. Upon an Event of Default (as defined in the Note Purchase Agreement), we will have a thirty (30) day cure period (the “Cure Period”), and if the Event of Default is not so cured at the end of the Cure Period, we are required to distribute the Pledged Collateral to the Purchasers on a pro rata basis, in full satisfaction of the indebtedness evidenced by the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Pledged Collateral has not been registered and will not be sold or transferred except as permitted under law and pursuant to registration or exemption therefrom. The Board of Directors and Audit Committee of the Board of Directors reviewed the transaction under the policy for Related Party Transactions and determined that the transaction was in compliance with such policy.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$6.6 million of the outstanding principal of the Secured Notes, including officers, directors and other significant stockholders, agreed to and effected the conversion of the Secured Notes held by them into shares of the Company’s Common Stock at a conversion price of $156.00 per share (adjusted for the Reverse Stock Split), warrants to purchase approximately $3.3 million of the Company’s Common Stock at an exercise price of $156.00 per share, and the right to their pro rata share of 49.11% of the proceeds of the Company’s shares of AlloTera Therapeutics common stock (“AlloTera Therapeutics Shares”), if and when such shares are ever sold (the “AlloTera Therapeutics Proceeds”). The conversion was approved at a Special Meeting of Stockholders held on March 31, 2025 and was effected pursuant to the terms of that certain Second Amendment to Amended and Restated Senior Secured Note Purchase Agreement and Related Agreements dated as of May 1, 2025 (the “Conversion Amendment”). On May 7, 2025, pursuant to the Conversion Amendment, the Secured Notes held by the participating noteholders were cancelled, and the Company issued a total of 42,181 unregistered shares of Common Stock (which are subject to a 180-day lock-up) and warrants to purchase an additional 21,099 shares of Common Stock at an exercise price of $156.00 per share. On January 29, 2026, the SEC declared effective a resale registration statement on Form S-1 (File Number 333-292652) covering the resale of shares of Common Stock and warrants issued to such note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Convertible Bridge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5, 2025, the Company issued a total of $270,000 principal amount of unsecured convertible promissory notes that mature on May 5, 2026 with paid in kind interest accruing thereon, payable quarterly in arrears at 10% per annum (the “Convertible Bridge Notes”). In accordance with their terms, following the completion of a qualified offering, the Convertible Bridge Notes were converted into shares of our Common Stock at the final offering price in an offering that closed on May 15, 2025. In addition, holders of the Convertible Bridge Notes have the right to receive a portion of the proceeds of the Company’s shares of Wugen common stock, if and when such shares are ever sold, determined by the number of the AlloTera Therapeutics shares equal to 0.25 multiplied by the original principal amount, in dollars, of the Convertible Bridge Notes. Investors included: $60,000 invested by Hing C. Wong, the Company’s Founder and CEO; $100,000 invested by Scott T. Garrett, the Chairman of the Company’s Board of Directors; and $10,000 invested by Gary M. Winer, who was a member of the Company’s Board of Directors at the time of his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15, 2025, the outstanding principle of Convertible Bridge Notes were converted. The fair value of consideration transferred, including 6,041 shares of Common Stock and rights to proceeds of a portion of the Company’s shares of AlloTera Therapeutics common stock, was $401,134, with the difference of $131,135 being recognized as a loss on conversion. Due to the related party nature of the converting noteholders, the loss was recorded as additional paid-in capital in the Company’s audited financial statements,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Grants to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stock options to our named executive officers as more fully described in the section entitled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officers. The indemnification agreements and our amended and restated certificate of incorporation and amended and restated bylaws require us to indemnify our directors and officers to the fullest extent permitted by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Review, Approval or Ratification of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written related party transactions policy states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party transaction with us without the review and approval of our audit committee.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must be presented to our audit committee for review, consideration and approval. In approving or rejecting any such proposal, our audit committee considers the relevant facts and circumstances available and deemed relevant to the committee, including, but not limited to, whether the transaction is on terms no less favorable than terms generally available to an unaffiliated third party under the same or similar circumstances and the extent of the related party’s interest in the transaction.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m_001"/>
      <w:bookmarkEnd w:id="13"/>
      <w:r>
        <w:rPr>
          <w:rFonts w:ascii="Times New Roman;Times;Serif" w:hAnsi="Times New Roman;Times;Serif"/>
          <w:b/>
          <w:i w:val="false"/>
          <w:caps w:val="false"/>
          <w:smallCaps w:val="false"/>
          <w:sz w:val="20"/>
        </w:rPr>
        <w:t xml:space="preserve">DESCRIPTION OF OUR SECURITIES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our securities of as set forth in certain provisions of our Second Amended and Restated Certificate of Incorporation (the “Charter”) and our Amended and Restated Bylaws (the “Bylaws”), and applicable forms of warrant, each previously filed with the SEC and incorporated by reference as an exhibit to this registration statement of which this prospectus forms a part. This summary does not purport to be complete and is qualified in its entirety by the full text of the Charter, Bylaws, applicable forms of warrant, and the applicable provisions of the Delaware General Corporation Law (the “DGCL”). We encourage you to read our Charter, Bylaws, applicable forms of warrant, and the applicable portions of the DGCL carefully.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Reverse Stock Splits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2025, at a Special Meeting of the Stockholders, the stockholders of the Company approved a reverse stock split of all outstanding shares of the Company’s Common Stock, and the Board approved a reverse stock split of the Common Stock at a final ratio of one-for-forty (1::40) (the “March 2025 Reverse Stock Split”). The March 2025 Reverse Stock Split was effective on April 11, 2025, and the Common Stock commenced trading on a reverse split-adjusted basis when the markets opened on April 11, 2025, under the existing trading symbol “HCWB.”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15, 2026, at the Company’s Annual Meeting of Stockholders, the stockholders of the Company approved a reverse stock split of all outstanding shares of Common Stock, and on June 24, 2026, the Board approved a reverse stock split at a final ratio of one-for-six (1::6) (the “June 2026 Reverse Stock Split”, and, together with the March 2025 Reverse Stock Split, the “Reverse Stock Splits”), which was effective at 12:01 a.m. Eastern Time on Tuesday, June 30, 2026 (the “Effective Date”). The Common Stock commenced trading on a Reverse Stock Split-adjusted basis under the Company’s existing trading symbol, “HCWB,” at market open on Tuesday, June 30, 2026.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issued and outstanding shares of Common Stock, stock option awards, and per share data included in this prospectus have been recast to give retrospective effect to the adjusted authorized shares and Reverse Stock Splits for all periods presented. The Reverse Stock Splits did not have any effect on authorized shares, the stated par value of the Company’s Common Stock or the rights and privileges of the holders of shares of Common Stock. Options, warrants and convertible securities outstanding immediately prior to the Reverse Stock Splits were appropriately adjusted to reflect the Reverse Stock Splits.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Authorized and Outstanding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authorizes the issuance of an aggregate of 250 million shares of Common Stock, $0.0001 par value per share and 10 million shares of preferred stock, $0.0001 par value per share. Our purpose is to engage in any lawful act or activity for which corporations may be organized under the DGCL. Unless our board of directors determines otherwise, we will issue all shares of our capital stock in uncertificated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20, 2026, HCWB had 1,836,324 shares of its Common Stock issued and outstanding and 0 shares of preferred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Voting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Common Stock is entitled to one vote for each share on all matters submitted to a vote of the stockholders, including the election of directors.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Dividend Right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redeemable preferred stock, holders of Common Stock are entitled to receive dividends, if any, as may be declared from time to time by the board of directors out of legally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after taking into account various factors, including our financial condition, operating results, current and anticipated cash needs, the requirements of current or then- existing debt instruments and other factors the Board deems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Rights upon Liquidation, Dissolution and Winding-Up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redeemable preferred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Preemptive or Other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redeemable preferred stock that we may designate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in connection with the July 2026 PIPE Transaction, we issued rights to receive common stock purchase warrants exercisable for an aggregate of up to 618,682 shares of our Common Stock (the “July 2026 Common Warrants”). The July 2026 Common Warrants were issued together with shares of Common Stock or, in lieu thereof, pre-funded warrants, as part of units sold to investors in the July 2026 PIPE Transaction. The issuance of the July 2026 Common Warrants is subject to stockholder approval required under Nasdaq Listing Rule 5635(d). Following receipt of such stockholder approval, we will issue the July 2026 Common Warrants to the investors. The July 2026 Common Warrants will be exercisable immediately upon issuance at an exercise price of $2.585 per share and will expire on the date that is five and one-half years from the date of issuance. The July 2026 Common Warrants may be exercised for cash or, subject to certain conditions set forth therein, on a cashless basis. The exercise of the July 2026 Common Warrants is subject to customary adjustments for stock splits, stock dividends, recapitalizations and similar events. The July 2026 Common Warrants are subject to beneficial ownership limitations that generally prohibit the holder from exercising the July 2026 Common Warrants to the extent that, after giving effect to such exercise, the holder would beneficially own more than 4.99% of the number of shares of our Common Stock outstanding immediately after giving effect to such exercise, which percentage may be increased or decreased by the holder in accordance with the terms of the July 2026 Common Warrants. We are obligated to seek the stockholder approval required for issuance of the July 2026 Common Warrants. There can be no assurance that such stockholder approval will be obtained. If stockholder approval is not obtained, the July 2026 Common Warrants will not be issued.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2026, in connection with a private placement transaction (the “May 2026 PIPE Transaction”), we issued common stock purchase warrants to purchase an aggregate of up to 474,496 shares of our Common Stock (the “May 2026 Common Warrants”). The May 2026 Common Warrants were issued together with shares of Common Stock or, in lieu thereof, pre-funded warrants, as part of units sold to investors in the May 2026 PIPE Transaction. The May 2026 Common Warrants are exercisable immediately upon issuance at an exercise price of $7.68 per share and expire on the date that is five and one-half years from the date of issuance. The May 2026 Common Warrants may be exercised for cash or, subject to certain conditions set forth therein, on a cashless basis. The exercise of the May 2026 Common Warrants is subject to customary adjustments for stock splits, stock dividends, recapitalizations and similar events. The May 2026 Common Warrants are subject to beneficial ownership limitations that generally prohibit the holder from exercising the May 2026 Common Warrants to the extent that, after giving effect to such exercise, the holder would beneficially own more than 4.99% (or, at the holder’s election, up to 9.99%) of the number of shares of our Common Stock outstanding immediately after giving effect to such exercise, which limitation may be increased or decreased by the holder upon prior notice, subject to a 61-day effectiveness period for any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we sold 412,882 units at a purchase price of $3.6329 per unit, each consisting of one pre-funded warrant that may be exercised for one share of Common Stock, and one accompanying warrant with an exercise price of $3.633 per share (together, the “February 2026 Common Stock Warrants”) issuance of which was subject to stockholder approval. On March 16, 2026, the pre-funded warrants were exercised and the Company issued 412,882 shares of Common Stock. On June 15, 2026, at the Annual Meeting of Stockholders, the stockholders approved the issuance of the February 2026 Common Stock Warrants. The warrants may be exercised to purchase up to 412,882 shares of Common Stock for $3.633 per share and expire on the five-year anniversary of such approval. In a private transaction on February 19, 2026, we agreed, subject to stockholder approval, to reduce the exercise price of existing warrants to purchase up to 503,402 shares of our Common Stock (the “Inducement Warrants”), which were issued in November 2025 in connection with a warrant inducement transaction with an existing investor, from $14.46 per share to $3.633 per share. On June 15, 2026, at the Annual Meeting of Stockholders, the stockholders approved the repricing of the November 2025 Common Stock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the Company issued warrants to purchase up to 21,099 shares of Common Stock to certain Noteholders who agreed to restructure and convert their Secured Notes to equity. These warrants are exercisable for five years from the date of issuance at $156.00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in connection with the July 2026 PIPE Transaction, we issued pre-funded warrants to purchase an aggregate of up to 400,000 shares of our Common Stock. We refer to such pre-funded warrants collectively as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Exercisability. </w:t>
      </w:r>
      <w:r>
        <w:rPr>
          <w:rFonts w:ascii="Times New Roman;Times;Serif" w:hAnsi="Times New Roman;Times;Serif"/>
          <w:b w:val="false"/>
          <w:i w:val="false"/>
          <w:caps w:val="false"/>
          <w:smallCaps w:val="false"/>
          <w:sz w:val="20"/>
        </w:rPr>
        <w:t>The Pre-Funded Warrants are exercisable at any time after their original issuance date until the Pre-Funded Warrants are exercised in full. The Pre-Funded Warrants are exercisable, at the option of each holder, in whole or in part, by delivering to us a duly executed exercise notice accompanied by payment in full for the number of shares of common stock purchased upon such exercise (except in the case of a cashless exercise as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Limitation</w:t>
      </w:r>
      <w:r>
        <w:rPr>
          <w:rFonts w:ascii="Times New Roman;Times;Serif" w:hAnsi="Times New Roman;Times;Serif"/>
          <w:b w:val="false"/>
          <w:i w:val="false"/>
          <w:caps w:val="false"/>
          <w:smallCaps w:val="false"/>
          <w:sz w:val="20"/>
        </w:rPr>
        <w:t>. A holder (together with its affiliates) may not exercise any portion of the Pre-Funded Warrantto the extent that the holder would own more than 9.99% of the outstanding Common Stock immediately after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Price</w:t>
      </w:r>
      <w:r>
        <w:rPr>
          <w:rFonts w:ascii="Times New Roman;Times;Serif" w:hAnsi="Times New Roman;Times;Serif"/>
          <w:b w:val="false"/>
          <w:i w:val="false"/>
          <w:caps w:val="false"/>
          <w:smallCaps w:val="false"/>
          <w:sz w:val="20"/>
        </w:rPr>
        <w:t>. The exercise price per whole share of our Common Stock purchasable upon the exercise of the Pre-Funded Warrants is $0.0001 per share of Common Stock. The warrants are immediately exercisable and may be exercised at any time until the Pre-Funded Warrants are exercised in full. The exercise price and number of shares of Common Stock issuable upon exercise of the warrants may be adjusted in certain circumstances, including in the event of a stock dividend or recapitalization, reorganization, merger 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Cashless Exercise</w:t>
      </w:r>
      <w:r>
        <w:rPr>
          <w:rFonts w:ascii="Times New Roman;Times;Serif" w:hAnsi="Times New Roman;Times;Serif"/>
          <w:b w:val="false"/>
          <w:i w:val="false"/>
          <w:caps w:val="false"/>
          <w:smallCaps w:val="false"/>
          <w:sz w:val="20"/>
        </w:rPr>
        <w:t>. If, at any time after the issuance of the Pre-Funded Warrants, a holder of the warrants exercises the warrants and a registration statement registering the issuance of the shares of Common Stock underlying the warrants under the Securities Act is not then effective or available (or a prospectus is not available for the resale of shares of Common Stock underlying the warrants), then in lieu of making the cash payment otherwise contemplated to be made to us upon such exercise in payment of the aggregate exercise price, the holder shall instead receive upon such exercise (either in whole or in part) only the net number of shares of Common Stock determined according to a formula set forth in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No fractional shares of Common Stock will be issued upon exercise of the warrants. If, upon exercise of a Pre-Funded Warrant, the holder would be entitled to receive a fractional interest in a share, we will, in our discretion and upon exercise,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Subject to applicable laws, the Pre-Funded Warrants may be offered for sale, sold, transferred or assigned at the option of the holder without our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shares of Common Stock, or any person or group becoming the beneficial owner of 50% of the voting power represented by our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as a Stockholder</w:t>
      </w:r>
      <w:r>
        <w:rPr>
          <w:rFonts w:ascii="Times New Roman;Times;Serif" w:hAnsi="Times New Roman;Times;Serif"/>
          <w:b w:val="false"/>
          <w:i w:val="false"/>
          <w:caps w:val="false"/>
          <w:smallCaps w:val="false"/>
          <w:sz w:val="20"/>
        </w:rPr>
        <w:t>. Except by virtue of such holder’s ownership of shares of our Common Stock, the holder of a Pre-Funded Warrant does not have the rights or privileges of a holder of our Common Stock, including any voting rights, until the holder exercises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Transfer Agent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will continue to be Equiniti Trust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Authorized but Unissued Capital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does not require stockholder approval for any issuance of shares that are authorized and available for issuance. However, the listing requirements of Nasdaq require stockholder approval of certain issuances equal to or exceeding 20% of the then-outstanding voting power or the then-outstanding number of shares of Common Stock. These additional shares may be used for a variety of corporate purposes, including future public offerings, to raise additional capital or to facilitate acquisitions. Additionally, the number of authorized shares of any series of Common Stock or preferred stock may be increased or decreased (but not below the number of shares thereof outstanding) by the affirmative vote of the holders of a majority in voting power, irrespective of the provisions of Section 242(b)(2)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HCWB Board may generally issue shares of one or more series of preferred stock on terms designed to discourage, delay or prevent a change of control of HCWB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effects of the existence of authorized and unissued and unreserved shares of Common Stock or preferred stock may be to enable HCWB’s board of directors to issue shares to persons friendly to current management, which issuance could render more difficult or discourage an attempt to obtain control of HCWB by means of a merger, tender offer, proxy contest or otherwise, and thereby protect the continuity of our management and possibly deprive our stockholders of opportunities to sell their shares of Common Stock at prices higher than prevailing market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Vacancies and Newly Created Directorships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subject to the rights granted to one or more series of preferred stock then outstanding, any newly-created directorship on the board of directors that results from an increase in the number of directors and any vacancies on our board of directors will be filled solely only by the affirmative vote of a majority of the remaining directors, even if less than a quorum, by a sole remaining director or by the stockholders.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Special Stockholder Meetings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special meetings of our stockholders may be called at any time only by the board of directors acting pursuant to a resolution approved by the affirmative vote of a majority of the directors then in office, subject to the rights of holders of any series of preferred stock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Stockholder Action by Written Consent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228 of the DGCL, any action required to be taken at any annual or special meeting of the stockholders of a Delaware corporation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Subject to applicable law and the rights, if any, of the holders of any outstanding series of preferred stock or any other outstanding class or series of stock of HCWB, the Charter does not permit our holders of Common Stock to act by consent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Section 203 of the DGCL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HCWB will be subject to the provisions of Section 203 of the DGCL, which we refer to as “Section 203”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date of the transaction, HCWB’s board of directors approved either the business combination or the transaction that resulted in the stockholder becoming an interested stockholder;</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subsequent to the date of the transaction, the business combination is approved by HCWB’s board of directors and authorized at an annual or special meeting of stockholders, and not by written consent, by the affirmative vote of at least two-thirds of the outstanding voting stock that is not owned by the interested stockholder.</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Delaware law and the provisions of the Charter and HCWB’s Bylaws could have the effect of discouraging others from attempting hostile takeovers and, as a consequence, they might also inhibit temporary fluctuations in the market price of Common Stock that often result from actual or rumored hostile takeover attempts. These provisions might also have the effect of preventing changes in HCWB’s management. It is also possible that these provisions could make it more difficult to accomplish transactions that stockholders might otherwise deem to be in their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Dissenters’ Rights of Appraisal and Payment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our stockholders will have appraisal rights in connection with a merger or consolidation in which we are a constituent entity. Pursuant to the DGCL, stockholders who properly demand and perfect appraisal rights in connection with such merger or consolidation will have the right to receive payment of the fair value of their shares as determined by the Court of Chancery of the State of Delaware, plus interest, if any, on the amount determined to be the fair value, from the effective time of the merger or consolidation through the date of payment of the judgment.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Stockholders’ Derivative 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Exclusive Forum for Certain Lawsuits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Charter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HCWB’s directors and officers, although our stockholders will not be deemed to have waived our compliance with federal securities laws and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our Charter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securities shall be deemed to have notice of and consented to these provisions.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Limitations on Liability and Indemnification of Officers and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authorizes corporations to limit or eliminate the personal liability of directors to corporations and their stockholders for monetary damages for breaches of directors’ fiduciary duties, subject to certain exceptions. The Charter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provision in the Charter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pending material litigation or proceeding involving any of our directors, officers or employees for which indemnification is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HCWB is listed on Nasdaq under the symbol “HCWB”.</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m_002"/>
      <w:bookmarkEnd w:id="14"/>
      <w:r>
        <w:rPr>
          <w:rFonts w:ascii="Times New Roman;Times;Serif" w:hAnsi="Times New Roman;Times;Serif"/>
          <w:b/>
          <w:i w:val="false"/>
          <w:caps w:val="false"/>
          <w:smallCaps w:val="false"/>
          <w:sz w:val="20"/>
        </w:rPr>
        <w:t xml:space="preserve">SECURITIES ACT RESTRICTIONS ON RESALE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Rule 144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under the Securities Act (“Rule 144”), a person who has beneficially owned restricted shares of Common Stock of HCWB for at least six months would be entitled to sell their securities provided that (i) such person is not deemed to have been an affiliate of HCWB at the time of, or at any time during the three months preceding, a sale and (ii) HCWB is subject to the Exchange Act periodic reporting requirements for at least three months before the sale and has filed all required reports under Section 13 or 15(d) of the Exchange Act during the 12 months (or such shorter period as it was required to file reports) preceding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shares of Common Stock of HCWB for at least six months but who are affiliates of HCWB at the time of, or at any time during the three months preceding, a sale would be subject to additional restrictions, by which such person would be entitled to sell within any three-month period only a number of securities that does not exceed the average weekly reported trading volume of Common Stock during the four calendar weeks preceding the filing of a notice on Form 144 with respect to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HCWB under Rule 144 are also limited by manner of sale provisions and notice requirements and by the availability of current public information about HCWB.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m_003"/>
      <w:bookmarkEnd w:id="15"/>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listed in the table appearing under “Selling Stockholders” are being registered to permit the resale of Common Stock issued or issuable upon the exercise of Pre-Funded Warrants or the July 2026 Common Stock Warrants by the selling stockholders from time to time after the date of this prospectus. There can be no assurance that the selling stockholders will sell any or all of the Common Stock offered hereby. We will not receive any of the proceeds from the sale of the Common Stock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all or a portion of the Common Stock offered hereby from time to time directly to purchasers or through one or more underwriters, broker-dealers or agents, at either market prices prevailing at the time of sale or at privately negotiated prices (but not at a fixed price), by a variety of methods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any national securities exchange or over-the-counter market on which the Common Stock may be listed or quoted at the time of sale;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ordinary brokerage transactions and transactions in which the broker-dealer solicits purchasers;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block trades in which a broker-dealer may attempt to sell the shares as agent but may position and resell a portion of the block as principal to facilitate the transaction;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purchases by a broker-dealer, as principal, and a subsequent resale by the broker-dealer for its account;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exchange distribution in accordance with the rules of the applicable exchange;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private negotiation transactions;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transactions otherwise than on such exchanges or in the over-the-counter market;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a combination of any such methods; or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any other method permitted under applicable law.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reasonable expenses incident to the registration of the Common Stock offered hereby. We have agreed to indemnify the selling stockholders and certain other persons against certain liabilities in connection with the offering of shares offered hereby, including liabilities arising under the Securities Act or if such indemnity is unavailable, to contribute amounts required to be paid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registered hereunder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stockholders has informed us that it does not have any written or oral agreement or understanding, directly or indirectly, with any person to distribute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it is required to comply with Regulation M promulgated under the Exchange Act. With certain exceptions, Regulation M precludes a selling stockholders,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m_004"/>
      <w:bookmarkEnd w:id="16"/>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by Clark Hill PLC, Chicago, Illinois and Los Angeles,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m_005"/>
      <w:bookmarkEnd w:id="17"/>
      <w:r>
        <w:rPr>
          <w:rFonts w:ascii="Times New Roman;Times;Serif" w:hAnsi="Times New Roman;Times;Serif"/>
          <w:b/>
          <w:i w:val="false"/>
          <w:caps w:val="false"/>
          <w:smallCaps w:val="false"/>
          <w:sz w:val="20"/>
        </w:rPr>
        <w:t xml:space="preserve">EXPERTS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December 31, 2025, have been so incorporated in reliance on the report of Crowe LLP,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m_006"/>
      <w:bookmarkEnd w:id="18"/>
      <w:r>
        <w:rPr>
          <w:rFonts w:ascii="Times New Roman;Times;Serif" w:hAnsi="Times New Roman;Times;Serif"/>
          <w:b/>
          <w:i w:val="false"/>
          <w:caps w:val="false"/>
          <w:smallCaps w:val="false"/>
          <w:sz w:val="20"/>
        </w:rPr>
        <w:t xml:space="preserve">WHERE YOU CAN FIND MORE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In accordance with the Exchange Act, we file periodic reports, proxy and information statements and other information with the SEC. Our filings with the SEC are available to the public over the Internet at the SEC’s website at www.sec.gov. You may also find documents we filed on our website at www.hcwbiologics.com. Information contained in or accessible through our website does not constitute a part of this prospectus and is not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m_007"/>
      <w:bookmarkEnd w:id="19"/>
      <w:r>
        <w:rPr>
          <w:rFonts w:ascii="Times New Roman;Times;Serif" w:hAnsi="Times New Roman;Times;Serif"/>
          <w:b/>
          <w:i w:val="false"/>
          <w:caps w:val="false"/>
          <w:smallCaps w:val="false"/>
          <w:sz w:val="20"/>
        </w:rPr>
        <w:t xml:space="preserve">INCORPORATION OF CERTAIN DOCUMENTS BY REFERENCE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which means that we can disclose important information to you by referring you to those publicly available documents. The information that we incorporate by reference in this prospectus is considered to be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incorporate by reference into this prospectus and the registration statement of which this prospectus is a part the information or documents listed below (except in each case the information contained in such document to the extent “furnished” and not “filed”) that we have filed with the SEC: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as filed with the SEC on March 31, 2026, and our Restated Quarterly Report on </w:t>
            </w:r>
            <w:hyperlink r:id="rId4">
              <w:r>
                <w:rPr>
                  <w:rStyle w:val="InternetLink"/>
                  <w:rFonts w:ascii="Times New Roman;Times;Serif" w:hAnsi="Times New Roman;Times;Serif"/>
                  <w:b w:val="false"/>
                  <w:i w:val="false"/>
                  <w:caps w:val="false"/>
                  <w:smallCaps w:val="false"/>
                  <w:sz w:val="20"/>
                </w:rPr>
                <w:t>Form 10-Q/A</w:t>
              </w:r>
            </w:hyperlink>
            <w:r>
              <w:rPr>
                <w:rFonts w:ascii="Times New Roman;Times;Serif" w:hAnsi="Times New Roman;Times;Serif"/>
                <w:b w:val="false"/>
                <w:i w:val="false"/>
                <w:caps w:val="false"/>
                <w:smallCaps w:val="false"/>
                <w:sz w:val="20"/>
              </w:rPr>
              <w:t xml:space="preserve"> for the three months ended March 31, 2026, as filed with the SEC on August 14, 2026, and the Quarterly Report </w:t>
            </w:r>
            <w:hyperlink r:id="rId5">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three- and six-month periods ended June 30, 2026, as filed with the SEC on August 14,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Current Reports on Form 8-K filed with the SEC on </w:t>
            </w:r>
            <w:hyperlink r:id="rId6">
              <w:r>
                <w:rPr>
                  <w:rStyle w:val="InternetLink"/>
                  <w:rFonts w:ascii="Times New Roman;Times;Serif" w:hAnsi="Times New Roman;Times;Serif"/>
                  <w:b w:val="false"/>
                  <w:i w:val="false"/>
                  <w:caps w:val="false"/>
                  <w:smallCaps w:val="false"/>
                  <w:sz w:val="20"/>
                </w:rPr>
                <w:t>February 13,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February 19,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March 2,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March 17,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April 16,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April 30,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April 30,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May 14, 2026</w:t>
              </w:r>
            </w:hyperlink>
            <w:r>
              <w:rPr>
                <w:rFonts w:ascii="Times New Roman;Times;Serif" w:hAnsi="Times New Roman;Times;Serif"/>
                <w:b w:val="false"/>
                <w:i w:val="false"/>
                <w:caps w:val="false"/>
                <w:smallCaps w:val="false"/>
                <w:sz w:val="20"/>
              </w:rPr>
              <w:t xml:space="preserve"> , </w:t>
            </w:r>
            <w:hyperlink r:id="rId15">
              <w:r>
                <w:rPr>
                  <w:rStyle w:val="InternetLink"/>
                  <w:rFonts w:ascii="Times New Roman;Times;Serif" w:hAnsi="Times New Roman;Times;Serif"/>
                  <w:b w:val="false"/>
                  <w:i w:val="false"/>
                  <w:caps w:val="false"/>
                  <w:smallCaps w:val="false"/>
                  <w:sz w:val="20"/>
                </w:rPr>
                <w:t>May 21, 2026</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May 27, 2026</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June 1, 2026</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June 15, 2026</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June 16, 2026</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June 26, 2026</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July 1, 2026</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July 29, 2026</w:t>
              </w:r>
            </w:hyperlink>
            <w:r>
              <w:rPr>
                <w:rFonts w:ascii="Times New Roman;Times;Serif" w:hAnsi="Times New Roman;Times;Serif"/>
                <w:b w:val="false"/>
                <w:i w:val="false"/>
                <w:caps w:val="false"/>
                <w:smallCaps w:val="false"/>
                <w:sz w:val="20"/>
              </w:rPr>
              <w:t xml:space="preserve"> and </w:t>
            </w:r>
            <w:hyperlink r:id="rId24">
              <w:r>
                <w:rPr>
                  <w:rStyle w:val="InternetLink"/>
                  <w:rFonts w:ascii="Times New Roman;Times;Serif" w:hAnsi="Times New Roman;Times;Serif"/>
                  <w:b w:val="false"/>
                  <w:i w:val="false"/>
                  <w:caps w:val="false"/>
                  <w:smallCaps w:val="false"/>
                  <w:sz w:val="20"/>
                </w:rPr>
                <w:t>August 14, 2026</w:t>
              </w:r>
            </w:hyperlink>
            <w:r>
              <w:rPr>
                <w:rFonts w:ascii="Times New Roman;Times;Serif" w:hAnsi="Times New Roman;Times;Serif"/>
                <w:b w:val="false"/>
                <w:i w:val="false"/>
                <w:caps w:val="false"/>
                <w:smallCaps w:val="false"/>
                <w:sz w:val="20"/>
              </w:rPr>
              <w:t>, excluding any information furnished in such reports under Item 2.02, Item 7.01 or Item 9.0;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Company’s Common Stock contained in the registration statement on </w:t>
            </w:r>
            <w:hyperlink r:id="rId25">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July 9, 2021 pursuant to Section 12 of the Exchange Act, including any amendment or report filed for the purpose of updating that description.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Any statement contained in this prospectus or in a document incorporated or deemed to be incorporated by reference into this prospectus will be deemed to be modified or superseded for purposes hereof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copy of these filings, at no cost, by writing or telephoning us at the following address or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HCW Biologics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2929 N Commerce Parkway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Miramar, FL 33025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(954) 842-2024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Resale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1,237,364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August                   , 2026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13. Other Expenses of Issuance and Distribution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and expenses payable by the registrant in connection with the issuance and distribution of the securities being registered. All of the amounts shown are estimates, except for the SEC registration fee:</w:t>
      </w:r>
    </w:p>
    <w:p>
      <w:pPr>
        <w:pStyle w:val="TextBody"/>
        <w:bidi w:val="0"/>
        <w:spacing w:before="0" w:after="0"/>
        <w:ind w:left="0" w:right="0" w:hanging="0"/>
        <w:jc w:val="both"/>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3140"/>
        <w:gridCol w:w="60"/>
        <w:gridCol w:w="140"/>
        <w:gridCol w:w="740"/>
        <w:gridCol w:w="75"/>
      </w:tblGrid>
      <w:tr>
        <w:trPr/>
        <w:tc>
          <w:tcPr>
            <w:tcW w:w="314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50,000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20,000</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439 </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Miscellaneous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pPr>
            <w:r>
              <w:rPr/>
              <w:t>10,000</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80,439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14. Indemnification of Directors and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concerning indemnification of officers, directors, employees and agents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Indemnification of officers, directors, employees and agents; insurance.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91"/>
        <w:gridCol w:w="9823"/>
      </w:tblGrid>
      <w:tr>
        <w:trPr/>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 For indemnification with respect to any act or omission occurring after December 31, 2020, references to “officer” for purposes of these paragraphs (c)(1) and (2) of this section shall mean only a person who at the time of such act or omission is deemed to have consented to service by the delivery of process to the registered agent of the corporation pursuant to § 3114(b) of Title 10 (for purposes of this sentence only, treating residents of this State as if they were nonresidents to apply § 3114(b) of Title 10 to this sentence).</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indemnify any other person who is not a present or former director or officer of the corporation against expenses (including attorneys’ fees) actually and reasonably incurred by such person to the extent he or she has been successful on the merits or otherwise in defense of any action, suit or proceeding referred to in subsections (a) and (b) of this section, or in defense of any claim, issue or matter therein.</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of the corporation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or repeal or elimination of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 For purposes of this subsection, insurance shall include any insurance provided directly or indirectly (including pursuant to any fronting or reinsurance arrangement) by or through a captive insurance company organized and licensed in compliance with the laws of any jurisdiction, including any captive insurance company licensed under Chapter 69 of Title 18, provided that the terms of any such captive insurance shall:</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Exclude from coverage thereunder, and provide that the insurer shall not make any payment for, loss in connection with any claim made against any person arising out of, based upon or attributable to 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personal profit or other financial advantage to which such person was not legally entitled or</w:t>
      </w:r>
    </w:p>
    <w:p>
      <w:pPr>
        <w:pStyle w:val="TextBody"/>
        <w:bidi w:val="0"/>
        <w:spacing w:before="0" w:after="0"/>
        <w:ind w:left="108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deliberate criminal or deliberate fraudulent act of such person, or a knowing violation of law by such person, if (in the case of the foregoing paragraph (g)(1)(i) or (ii) of this section) established by a final, nonappealable adjudication in the underlying proceeding in respect of such claim (which shall not include an action or proceeding initiated by the insurer or the insured to determine coverage under the policy), unless and only to the extent such person is entitled to be indemnified therefor under this section;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Require that any determination to make a payment under such insurance in respect of a claim against a current director or officer (as defined in paragraph (c)(1) of this section) of the corporation shall be made by an independent claims administrator or in accordance with the provisions of paragraphs (d)(1) through (4) of this section; 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Require that, prior to any payment under such insurance in connection with any dismissal or compromise of any action, suit or proceeding brought by or in the right of a corporation as to which notice is required to be given to stockholders, such corporation shall include in such notice that a payment is proposed to be made under such insurance in connection with such dismissal or compromise.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paragraph (g)(1) of this section, the conduct of an insured person shall not be imputed to any other insured person. A corporation that establishes or maintains a captive insurance company that provides insurance pursuant to this section shall not, solely by virtue thereof, be subject to the provisions of Title 18.</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of the Company’s By-laws provides: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was or is made a party to, or is threatened to be made a party to, or is involved in any threatened, pending or completed action, suit or proceeding, whether civil, criminal, administrative, legislative or any other type whatsoever (a “Proceeding”),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“Indemnitee”),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action or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15. Recent Sales of Unregistered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three years, we sold the following securities without registration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the Company completed a private placement of 7,441 shares of Common Stock to certain officers and directors for aggregate gross proceeds of approximately $2.5 million. The shares were sold at a purchase price of $336.00 per share. The Board of Directors and the Audit Committee reviewed the transaction pursuant to the Company’s Related Party Transactions Policy and determined that the transaction complied with the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2024, the Company entered into a securities purchase agreement with Armistice Capital Master Fund Ltd. (“Armistice”). In a concurrent private placement completed on November 20, 2024, the Company issued unregistered warrants to purchase up to 27,988 shares of Common Stock (the “Armistice Warrants”). On April 16, 2025, the SEC declared effective a registration statement on Form S-1 (File No. 333-286409) covering the resale of the shares underlying the Armistice Warrants.</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2025, in connection with an equity purchase agreement entered into with Square Gate Capital Master Fund, LLC – Series 4, the Company issued 9,616 shares of Common Stock as a commitment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pursuant to the terms of an amendment to certain outstanding Secured Notes approved by stockholders on March 31, 2025, the Company issued 42,181 shares of Common Stock and warrants to purchase an additional 21,099 shares of Common Stock in connection with the conversion of approximately $6.6 million principal amount of Secured Notes and related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the Company entered into a warrant inducement agreement with Armistice pursuant to which Armistice exercised existing warrants to purchase 251,702 shares of Common Stock at a reduced exercise price, resulting in gross proceeds to the Company of approximately $4.0 million. In consideration for such exercise, the Company issued new unregistered warrants to purchase up to 503,402 shares of Common Stock at an exercise price of $14.46 per share. On January 29, 2026, the SEC declared effective a registration statement on Form S-1 (File No. 333-292652) covering the resale of the shares underlying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21, 2026, the Company completed a private placement of an aggregate of 474,496 units to a group of existing investors, including certain directors, officers and significant stockholders, for aggregate gross proceeds of approximately $4.0 million. Each unit consisted of one share of Common Stock (or a pre-funded warrant in lieu thereof) and one warrant to purchase one share of Common Stock. On June 18, 2026, the SEC declared effective a registration statement on Form S-1 (File No. 333-296577) covering the resale of the securities issued in the private placement. On June 22, 2026, the holder exercised all of its Pre-Funded Warrants issued in this transaction to purchase 403,322 shares of Common Stock for $0.0001 per share.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completed a private placement with certain accredited investors in which the Company sold 618,682 units, each unit consisting of one share of Common Stock, or a Pre-Funded Warrant in lieu thereof, and (ii) the right to receive one Common Stock Warrant upon, and subject to, stockholder approval of the issuance of such Common Stock Warrants, which approval the Company is obligated to seek pursuant to the terms of the purchase agreement. Gross proceeds of the offering were approximately $1.6 million before deducting offering expenses. The Company entered into a Registration Rights Agreement pursuant to which it agreed to file a registration statement covering the resale of the shares of Common Stock issued in the private placement, the shares issuable upon exercise of the Pre-Funded Warrants and the shares issuable upon exercise of the Common Stock Warrants. Hing C. Wong, Ph.D., our Founder and Chief Executive Officer, Scott Garrett, Chairman of our board of directors, and Lee Flowers, our Senior Vice President of Business Development, participated in the private placement on the same terms and conditions as the other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issuances were made in reliance upon exemptions from registration under Section 4(a)(2) of the Securities Act and/or Rule 506 of Regulation D promulgated thereunder,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16.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Exhibit Index to this registration statement, which immediately precedes the Signature Page, and which Exhibit Index is hereby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17. Undertakings.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1080" w:right="0" w:hanging="360"/>
        <w:jc w:val="both"/>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200"/>
        <w:gridCol w:w="9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 as amended (the “Securities Act”);</w:t>
            </w:r>
          </w:p>
        </w:tc>
      </w:tr>
    </w:tbl>
    <w:p>
      <w:pPr>
        <w:pStyle w:val="TextBody"/>
        <w:bidi w:val="0"/>
        <w:spacing w:before="0" w:after="0"/>
        <w:ind w:left="159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tc>
      </w:tr>
    </w:tbl>
    <w:p>
      <w:pPr>
        <w:pStyle w:val="TextBody"/>
        <w:bidi w:val="0"/>
        <w:spacing w:before="0" w:after="0"/>
        <w:ind w:left="1591" w:right="0" w:hanging="36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 provided, however, that paragraphs (i), (ii) and (iii) do not apply if the registration statement is on Form S-1 and the information required to be included in a post- 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tc>
      </w:tr>
    </w:tbl>
    <w:p>
      <w:pPr>
        <w:pStyle w:val="TextBody"/>
        <w:bidi w:val="0"/>
        <w:spacing w:before="0" w:after="0"/>
        <w:ind w:left="1591"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1080" w:right="0" w:hanging="36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245"/>
        <w:gridCol w:w="7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to any purchaser:</w:t>
            </w:r>
          </w:p>
        </w:tc>
      </w:tr>
    </w:tbl>
    <w:p>
      <w:pPr>
        <w:pStyle w:val="TextBody"/>
        <w:bidi w:val="0"/>
        <w:spacing w:before="0" w:after="0"/>
        <w:ind w:left="1080" w:right="0" w:hanging="36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200"/>
        <w:gridCol w:w="33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registrant is relying on Rule 430B:</w:t>
            </w:r>
          </w:p>
        </w:tc>
      </w:tr>
    </w:tbl>
    <w:p>
      <w:pPr>
        <w:pStyle w:val="TextBody"/>
        <w:bidi w:val="0"/>
        <w:spacing w:before="0" w:after="0"/>
        <w:ind w:left="159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w:t>
            </w:r>
          </w:p>
        </w:tc>
      </w:tr>
    </w:tbl>
    <w:p>
      <w:pPr>
        <w:pStyle w:val="TextBody"/>
        <w:bidi w:val="0"/>
        <w:spacing w:before="0" w:after="0"/>
        <w:ind w:left="2203" w:right="0" w:hanging="36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p>
      <w:pPr>
        <w:pStyle w:val="TextBody"/>
        <w:bidi w:val="0"/>
        <w:spacing w:before="0" w:after="0"/>
        <w:ind w:left="159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p>
      <w:pPr>
        <w:pStyle w:val="TextBody"/>
        <w:bidi w:val="0"/>
        <w:spacing w:before="0" w:after="0"/>
        <w:ind w:left="159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an undersigned registrant; and</w:t>
            </w:r>
          </w:p>
        </w:tc>
      </w:tr>
    </w:tbl>
    <w:p>
      <w:pPr>
        <w:pStyle w:val="TextBody"/>
        <w:bidi w:val="0"/>
        <w:spacing w:before="0" w:after="0"/>
        <w:ind w:left="1591" w:right="0" w:hanging="36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305"/>
        <w:gridCol w:w="8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1591"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36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
        <w:gridCol w:w="86"/>
        <w:gridCol w:w="5033"/>
        <w:gridCol w:w="86"/>
        <w:gridCol w:w="559"/>
        <w:gridCol w:w="86"/>
        <w:gridCol w:w="853"/>
        <w:gridCol w:w="86"/>
        <w:gridCol w:w="794"/>
        <w:gridCol w:w="86"/>
        <w:gridCol w:w="806"/>
        <w:gridCol w:w="86"/>
        <w:gridCol w:w="835"/>
      </w:tblGrid>
      <w:tr>
        <w:trPr/>
        <w:tc>
          <w:tcPr>
            <w:tcW w:w="809"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5033"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3270" w:type="dxa"/>
            <w:gridSpan w:val="7"/>
            <w:tcBorders/>
            <w:vAlign w:val="center"/>
          </w:tcPr>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835" w:type="dxa"/>
            <w:vMerge w:val="restart"/>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80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503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5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85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79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80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835" w:type="dxa"/>
            <w:vMerge w:val="continue"/>
            <w:tcBorders/>
            <w:vAlign w:val="center"/>
          </w:tcPr>
          <w:p>
            <w:pPr>
              <w:pStyle w:val="Normal"/>
              <w:bidi w:val="0"/>
              <w:jc w:val="left"/>
              <w:rPr/>
            </w:pPr>
            <w:r>
              <w:rPr/>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Amended and Restated Certificate of Incorporation</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07/26/2021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Certificate of Amendment of Certificate of Incorporation, filed March 31, 2025</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04/01/2025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Certificate of Correction of the Certificate of Amendment of Certificate of Incorporation, filed April 1, 2025</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04/01/2025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3.1c</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033"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Certificate of Amendment of Certificate of Incorporation, filed June 24, 2026</w:t>
              </w:r>
            </w:hyperlink>
            <w:r>
              <w:rPr>
                <w:rFonts w:ascii="Times New Roman;Times;Serif" w:hAnsi="Times New Roman;Times;Serif"/>
                <w:b w:val="false"/>
                <w:i w:val="false"/>
                <w:caps w:val="false"/>
                <w:smallCaps w:val="false"/>
                <w:sz w:val="20"/>
              </w:rPr>
              <w:t xml:space="preserve">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8-K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001-40591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06/26/2026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5"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Amended and Restated Bylaws</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07/26/2021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Specimen Stock Certificate</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Description of Securities</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10-K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03/29/2022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New Warrant</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Common Stock Purchase Warrant</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 xml:space="preserve">Form of Common Stock Warrant, dated May 7, 2025, by and between Company and Holder named therein </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033"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Common Stock Purchase Warrant, dated May 21, 2026, by and between Company and Holder named therein</w:t>
              </w:r>
            </w:hyperlink>
            <w:r>
              <w:rPr>
                <w:rFonts w:ascii="Times New Roman;Times;Serif" w:hAnsi="Times New Roman;Times;Serif"/>
                <w:b w:val="false"/>
                <w:i w:val="false"/>
                <w:caps w:val="false"/>
                <w:smallCaps w:val="false"/>
                <w:sz w:val="20"/>
              </w:rPr>
              <w:t xml:space="preserve">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8-K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001-40591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05/21/2026 </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5"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033"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Pre-Funded Common Stock Purchase Warrant, dated July 29, 2026, by and between Company and Holder</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07/29/2026</w:t>
            </w:r>
          </w:p>
        </w:tc>
        <w:tc>
          <w:tcPr>
            <w:tcW w:w="8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835" w:type="dxa"/>
            <w:tcBorders/>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Form of Common Stock Purchase Warrant, dated July 29, 2026, by and between Company and Holders</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07/29/2026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Opinion of Clark Hill PLC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Securities Purchase Agreement, dated February 17, 2026, between Company and Purchaser</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Amendment to Existing Warrants Agreement, dated February 17, 2026, between the Company and Purchaser</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Form of Lock-up Agreement</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333-393396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02/11/2026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pPr>
            <w:r>
              <w:rPr>
                <w:sz w:val="20"/>
              </w:rPr>
              <w:t>10.4</w:t>
            </w:r>
            <w:r>
              <w:rPr/>
              <w:t xml:space="preserve"> </w:t>
            </w:r>
          </w:p>
        </w:tc>
        <w:tc>
          <w:tcPr>
            <w:tcW w:w="86" w:type="dxa"/>
            <w:tcBorders/>
            <w:vAlign w:val="center"/>
          </w:tcPr>
          <w:p>
            <w:pPr>
              <w:pStyle w:val="TableContents"/>
              <w:bidi w:val="0"/>
              <w:spacing w:before="0" w:after="283"/>
              <w:jc w:val="left"/>
              <w:rPr/>
            </w:pPr>
            <w:r>
              <w:rPr/>
              <w:t xml:space="preserve">  </w:t>
            </w:r>
          </w:p>
        </w:tc>
        <w:tc>
          <w:tcPr>
            <w:tcW w:w="5033" w:type="dxa"/>
            <w:tcBorders/>
            <w:vAlign w:val="center"/>
          </w:tcPr>
          <w:p>
            <w:pPr>
              <w:pStyle w:val="TableContents"/>
              <w:bidi w:val="0"/>
              <w:spacing w:before="0" w:after="283"/>
              <w:jc w:val="both"/>
              <w:rPr/>
            </w:pPr>
            <w:hyperlink r:id="rId42">
              <w:r>
                <w:rPr>
                  <w:rStyle w:val="InternetLink"/>
                  <w:sz w:val="20"/>
                </w:rPr>
                <w:t>Placement Agency Agreement, dated February 17, 2026, between the Company and Maxim Group LLC</w:t>
              </w:r>
            </w:hyperlink>
            <w:r>
              <w:rPr/>
              <w:t xml:space="preserve"> </w:t>
            </w:r>
          </w:p>
        </w:tc>
        <w:tc>
          <w:tcPr>
            <w:tcW w:w="86" w:type="dxa"/>
            <w:tcBorders/>
            <w:vAlign w:val="center"/>
          </w:tcPr>
          <w:p>
            <w:pPr>
              <w:pStyle w:val="TableContents"/>
              <w:bidi w:val="0"/>
              <w:spacing w:before="0" w:after="283"/>
              <w:jc w:val="left"/>
              <w:rPr/>
            </w:pPr>
            <w:r>
              <w:rPr/>
              <w:t xml:space="preserve">  </w:t>
            </w:r>
          </w:p>
        </w:tc>
        <w:tc>
          <w:tcPr>
            <w:tcW w:w="559" w:type="dxa"/>
            <w:tcBorders/>
            <w:vAlign w:val="center"/>
          </w:tcPr>
          <w:p>
            <w:pPr>
              <w:pStyle w:val="TableContents"/>
              <w:bidi w:val="0"/>
              <w:spacing w:before="0" w:after="283"/>
              <w:jc w:val="center"/>
              <w:rPr/>
            </w:pPr>
            <w:r>
              <w:rPr>
                <w:sz w:val="20"/>
              </w:rPr>
              <w:t>8-K</w:t>
            </w:r>
            <w:r>
              <w:rPr/>
              <w:t xml:space="preserve"> </w:t>
            </w:r>
          </w:p>
        </w:tc>
        <w:tc>
          <w:tcPr>
            <w:tcW w:w="86" w:type="dxa"/>
            <w:tcBorders/>
            <w:vAlign w:val="center"/>
          </w:tcPr>
          <w:p>
            <w:pPr>
              <w:pStyle w:val="TableContents"/>
              <w:bidi w:val="0"/>
              <w:spacing w:before="0" w:after="283"/>
              <w:jc w:val="left"/>
              <w:rPr/>
            </w:pPr>
            <w:r>
              <w:rPr/>
              <w:t xml:space="preserve">  </w:t>
            </w:r>
          </w:p>
        </w:tc>
        <w:tc>
          <w:tcPr>
            <w:tcW w:w="853" w:type="dxa"/>
            <w:tcBorders/>
            <w:vAlign w:val="center"/>
          </w:tcPr>
          <w:p>
            <w:pPr>
              <w:pStyle w:val="TableContents"/>
              <w:bidi w:val="0"/>
              <w:spacing w:before="0" w:after="283"/>
              <w:jc w:val="center"/>
              <w:rPr/>
            </w:pPr>
            <w:r>
              <w:rPr>
                <w:sz w:val="20"/>
              </w:rPr>
              <w:t>001-40591</w:t>
            </w:r>
            <w:r>
              <w:rPr/>
              <w:t xml:space="preserve"> </w:t>
            </w:r>
          </w:p>
        </w:tc>
        <w:tc>
          <w:tcPr>
            <w:tcW w:w="86" w:type="dxa"/>
            <w:tcBorders/>
            <w:vAlign w:val="center"/>
          </w:tcPr>
          <w:p>
            <w:pPr>
              <w:pStyle w:val="TableContents"/>
              <w:bidi w:val="0"/>
              <w:spacing w:before="0" w:after="283"/>
              <w:jc w:val="left"/>
              <w:rPr/>
            </w:pPr>
            <w:r>
              <w:rPr/>
              <w:t xml:space="preserve">  </w:t>
            </w:r>
          </w:p>
        </w:tc>
        <w:tc>
          <w:tcPr>
            <w:tcW w:w="794" w:type="dxa"/>
            <w:tcBorders/>
            <w:vAlign w:val="center"/>
          </w:tcPr>
          <w:p>
            <w:pPr>
              <w:pStyle w:val="TableContents"/>
              <w:bidi w:val="0"/>
              <w:spacing w:before="0" w:after="283"/>
              <w:jc w:val="center"/>
              <w:rPr/>
            </w:pPr>
            <w:r>
              <w:rPr>
                <w:sz w:val="20"/>
              </w:rPr>
              <w:t>10.1</w:t>
            </w:r>
            <w:r>
              <w:rPr/>
              <w:t xml:space="preserve"> </w:t>
            </w:r>
          </w:p>
        </w:tc>
        <w:tc>
          <w:tcPr>
            <w:tcW w:w="86" w:type="dxa"/>
            <w:tcBorders/>
            <w:vAlign w:val="center"/>
          </w:tcPr>
          <w:p>
            <w:pPr>
              <w:pStyle w:val="TableContents"/>
              <w:bidi w:val="0"/>
              <w:spacing w:before="0" w:after="283"/>
              <w:jc w:val="left"/>
              <w:rPr/>
            </w:pPr>
            <w:r>
              <w:rPr/>
              <w:t xml:space="preserve">  </w:t>
            </w:r>
          </w:p>
        </w:tc>
        <w:tc>
          <w:tcPr>
            <w:tcW w:w="806" w:type="dxa"/>
            <w:tcBorders/>
            <w:vAlign w:val="center"/>
          </w:tcPr>
          <w:p>
            <w:pPr>
              <w:pStyle w:val="TableContents"/>
              <w:bidi w:val="0"/>
              <w:spacing w:before="0" w:after="283"/>
              <w:jc w:val="center"/>
              <w:rPr/>
            </w:pPr>
            <w:r>
              <w:rPr>
                <w:sz w:val="20"/>
              </w:rPr>
              <w:t>02/19/2026</w:t>
            </w:r>
            <w:r>
              <w:rPr/>
              <w:t xml:space="preserve"> </w:t>
            </w:r>
          </w:p>
        </w:tc>
        <w:tc>
          <w:tcPr>
            <w:tcW w:w="86" w:type="dxa"/>
            <w:tcBorders/>
            <w:vAlign w:val="center"/>
          </w:tcPr>
          <w:p>
            <w:pPr>
              <w:pStyle w:val="TableContents"/>
              <w:bidi w:val="0"/>
              <w:spacing w:before="0" w:after="283"/>
              <w:jc w:val="left"/>
              <w:rPr/>
            </w:pPr>
            <w:r>
              <w:rPr/>
              <w:t xml:space="preserve">  </w:t>
            </w:r>
          </w:p>
        </w:tc>
        <w:tc>
          <w:tcPr>
            <w:tcW w:w="835" w:type="dxa"/>
            <w:tcBorders/>
            <w:vAlign w:val="center"/>
          </w:tcPr>
          <w:p>
            <w:pPr>
              <w:pStyle w:val="TableContents"/>
              <w:bidi w:val="0"/>
              <w:spacing w:before="0" w:after="283"/>
              <w:jc w:val="center"/>
              <w:rPr/>
            </w:pPr>
            <w:r>
              <w:rPr/>
              <w:t xml:space="preserve">  </w:t>
            </w:r>
          </w:p>
        </w:tc>
      </w:tr>
      <w:tr>
        <w:trPr/>
        <w:tc>
          <w:tcPr>
            <w:tcW w:w="809" w:type="dxa"/>
            <w:tcBorders/>
            <w:vAlign w:val="center"/>
          </w:tcPr>
          <w:p>
            <w:pPr>
              <w:pStyle w:val="TableContents"/>
              <w:bidi w:val="0"/>
              <w:spacing w:before="0" w:after="283"/>
              <w:jc w:val="center"/>
              <w:rPr/>
            </w:pPr>
            <w:r>
              <w:rPr>
                <w:sz w:val="20"/>
              </w:rPr>
              <w:t>10.5</w:t>
            </w:r>
            <w:r>
              <w:rPr/>
              <w:t xml:space="preserve"> </w:t>
            </w:r>
          </w:p>
        </w:tc>
        <w:tc>
          <w:tcPr>
            <w:tcW w:w="86" w:type="dxa"/>
            <w:tcBorders/>
            <w:vAlign w:val="center"/>
          </w:tcPr>
          <w:p>
            <w:pPr>
              <w:pStyle w:val="TableContents"/>
              <w:bidi w:val="0"/>
              <w:spacing w:before="0" w:after="283"/>
              <w:jc w:val="left"/>
              <w:rPr/>
            </w:pPr>
            <w:r>
              <w:rPr/>
              <w:t xml:space="preserve">  </w:t>
            </w:r>
          </w:p>
        </w:tc>
        <w:tc>
          <w:tcPr>
            <w:tcW w:w="5033" w:type="dxa"/>
            <w:tcBorders/>
            <w:vAlign w:val="center"/>
          </w:tcPr>
          <w:p>
            <w:pPr>
              <w:pStyle w:val="TableContents"/>
              <w:bidi w:val="0"/>
              <w:spacing w:before="0" w:after="283"/>
              <w:jc w:val="both"/>
              <w:rPr/>
            </w:pPr>
            <w:hyperlink r:id="rId43">
              <w:r>
                <w:rPr>
                  <w:rStyle w:val="InternetLink"/>
                  <w:sz w:val="20"/>
                </w:rPr>
                <w:t>Form of Securities Purchase Agreement dated May 21, 2026, by and between the Company and the Investors</w:t>
              </w:r>
            </w:hyperlink>
            <w:r>
              <w:rPr/>
              <w:t xml:space="preserve"> </w:t>
            </w:r>
          </w:p>
        </w:tc>
        <w:tc>
          <w:tcPr>
            <w:tcW w:w="86" w:type="dxa"/>
            <w:tcBorders/>
            <w:vAlign w:val="center"/>
          </w:tcPr>
          <w:p>
            <w:pPr>
              <w:pStyle w:val="TableContents"/>
              <w:bidi w:val="0"/>
              <w:spacing w:before="0" w:after="283"/>
              <w:jc w:val="left"/>
              <w:rPr/>
            </w:pPr>
            <w:r>
              <w:rPr/>
              <w:t xml:space="preserve">  </w:t>
            </w:r>
          </w:p>
        </w:tc>
        <w:tc>
          <w:tcPr>
            <w:tcW w:w="559" w:type="dxa"/>
            <w:tcBorders/>
            <w:vAlign w:val="center"/>
          </w:tcPr>
          <w:p>
            <w:pPr>
              <w:pStyle w:val="TableContents"/>
              <w:bidi w:val="0"/>
              <w:spacing w:before="0" w:after="283"/>
              <w:jc w:val="center"/>
              <w:rPr/>
            </w:pPr>
            <w:r>
              <w:rPr>
                <w:sz w:val="20"/>
              </w:rPr>
              <w:t>8-K</w:t>
            </w:r>
            <w:r>
              <w:rPr/>
              <w:t xml:space="preserve"> </w:t>
            </w:r>
          </w:p>
        </w:tc>
        <w:tc>
          <w:tcPr>
            <w:tcW w:w="86" w:type="dxa"/>
            <w:tcBorders/>
            <w:vAlign w:val="center"/>
          </w:tcPr>
          <w:p>
            <w:pPr>
              <w:pStyle w:val="TableContents"/>
              <w:bidi w:val="0"/>
              <w:spacing w:before="0" w:after="283"/>
              <w:jc w:val="left"/>
              <w:rPr/>
            </w:pPr>
            <w:r>
              <w:rPr/>
              <w:t xml:space="preserve">  </w:t>
            </w:r>
          </w:p>
        </w:tc>
        <w:tc>
          <w:tcPr>
            <w:tcW w:w="853" w:type="dxa"/>
            <w:tcBorders/>
            <w:vAlign w:val="center"/>
          </w:tcPr>
          <w:p>
            <w:pPr>
              <w:pStyle w:val="TableContents"/>
              <w:bidi w:val="0"/>
              <w:spacing w:before="0" w:after="283"/>
              <w:jc w:val="center"/>
              <w:rPr/>
            </w:pPr>
            <w:r>
              <w:rPr>
                <w:sz w:val="20"/>
              </w:rPr>
              <w:t>001-40591</w:t>
            </w:r>
            <w:r>
              <w:rPr/>
              <w:t xml:space="preserve"> </w:t>
            </w:r>
          </w:p>
        </w:tc>
        <w:tc>
          <w:tcPr>
            <w:tcW w:w="86" w:type="dxa"/>
            <w:tcBorders/>
            <w:vAlign w:val="center"/>
          </w:tcPr>
          <w:p>
            <w:pPr>
              <w:pStyle w:val="TableContents"/>
              <w:bidi w:val="0"/>
              <w:spacing w:before="0" w:after="283"/>
              <w:jc w:val="left"/>
              <w:rPr/>
            </w:pPr>
            <w:r>
              <w:rPr/>
              <w:t xml:space="preserve">  </w:t>
            </w:r>
          </w:p>
        </w:tc>
        <w:tc>
          <w:tcPr>
            <w:tcW w:w="794" w:type="dxa"/>
            <w:tcBorders/>
            <w:vAlign w:val="center"/>
          </w:tcPr>
          <w:p>
            <w:pPr>
              <w:pStyle w:val="TableContents"/>
              <w:bidi w:val="0"/>
              <w:spacing w:before="0" w:after="283"/>
              <w:jc w:val="center"/>
              <w:rPr/>
            </w:pPr>
            <w:r>
              <w:rPr>
                <w:sz w:val="20"/>
              </w:rPr>
              <w:t>10.1</w:t>
            </w:r>
            <w:r>
              <w:rPr/>
              <w:t xml:space="preserve"> </w:t>
            </w:r>
          </w:p>
        </w:tc>
        <w:tc>
          <w:tcPr>
            <w:tcW w:w="86" w:type="dxa"/>
            <w:tcBorders/>
            <w:vAlign w:val="center"/>
          </w:tcPr>
          <w:p>
            <w:pPr>
              <w:pStyle w:val="TableContents"/>
              <w:bidi w:val="0"/>
              <w:spacing w:before="0" w:after="283"/>
              <w:jc w:val="left"/>
              <w:rPr/>
            </w:pPr>
            <w:r>
              <w:rPr/>
              <w:t xml:space="preserve">  </w:t>
            </w:r>
          </w:p>
        </w:tc>
        <w:tc>
          <w:tcPr>
            <w:tcW w:w="806" w:type="dxa"/>
            <w:tcBorders/>
            <w:vAlign w:val="center"/>
          </w:tcPr>
          <w:p>
            <w:pPr>
              <w:pStyle w:val="TableContents"/>
              <w:bidi w:val="0"/>
              <w:spacing w:before="0" w:after="283"/>
              <w:jc w:val="center"/>
              <w:rPr/>
            </w:pPr>
            <w:r>
              <w:rPr>
                <w:sz w:val="20"/>
              </w:rPr>
              <w:t>05/21/2026</w:t>
            </w:r>
            <w:r>
              <w:rPr/>
              <w:t xml:space="preserve"> </w:t>
            </w:r>
          </w:p>
        </w:tc>
        <w:tc>
          <w:tcPr>
            <w:tcW w:w="86" w:type="dxa"/>
            <w:tcBorders/>
            <w:vAlign w:val="center"/>
          </w:tcPr>
          <w:p>
            <w:pPr>
              <w:pStyle w:val="TableContents"/>
              <w:bidi w:val="0"/>
              <w:spacing w:before="0" w:after="283"/>
              <w:jc w:val="left"/>
              <w:rPr/>
            </w:pPr>
            <w:r>
              <w:rPr/>
              <w:t xml:space="preserve">  </w:t>
            </w:r>
          </w:p>
        </w:tc>
        <w:tc>
          <w:tcPr>
            <w:tcW w:w="835" w:type="dxa"/>
            <w:tcBorders/>
            <w:vAlign w:val="center"/>
          </w:tcPr>
          <w:p>
            <w:pPr>
              <w:pStyle w:val="TableContents"/>
              <w:bidi w:val="0"/>
              <w:spacing w:before="0" w:after="283"/>
              <w:jc w:val="center"/>
              <w:rPr/>
            </w:pPr>
            <w:r>
              <w:rPr/>
              <w:t xml:space="preserve">  </w:t>
            </w:r>
          </w:p>
        </w:tc>
      </w:tr>
      <w:tr>
        <w:trPr/>
        <w:tc>
          <w:tcPr>
            <w:tcW w:w="809" w:type="dxa"/>
            <w:tcBorders/>
            <w:vAlign w:val="center"/>
          </w:tcPr>
          <w:p>
            <w:pPr>
              <w:pStyle w:val="TableContents"/>
              <w:bidi w:val="0"/>
              <w:spacing w:before="0" w:after="283"/>
              <w:jc w:val="center"/>
              <w:rPr/>
            </w:pPr>
            <w:r>
              <w:rPr>
                <w:sz w:val="20"/>
              </w:rPr>
              <w:t>10.6</w:t>
            </w:r>
            <w:r>
              <w:rPr/>
              <w:t xml:space="preserve"> </w:t>
            </w:r>
          </w:p>
        </w:tc>
        <w:tc>
          <w:tcPr>
            <w:tcW w:w="86" w:type="dxa"/>
            <w:tcBorders/>
            <w:vAlign w:val="center"/>
          </w:tcPr>
          <w:p>
            <w:pPr>
              <w:pStyle w:val="TableContents"/>
              <w:bidi w:val="0"/>
              <w:spacing w:before="0" w:after="283"/>
              <w:jc w:val="left"/>
              <w:rPr/>
            </w:pPr>
            <w:r>
              <w:rPr/>
              <w:t xml:space="preserve">  </w:t>
            </w:r>
          </w:p>
        </w:tc>
        <w:tc>
          <w:tcPr>
            <w:tcW w:w="5033" w:type="dxa"/>
            <w:tcBorders/>
            <w:vAlign w:val="center"/>
          </w:tcPr>
          <w:p>
            <w:pPr>
              <w:pStyle w:val="TableContents"/>
              <w:bidi w:val="0"/>
              <w:spacing w:before="0" w:after="283"/>
              <w:jc w:val="both"/>
              <w:rPr/>
            </w:pPr>
            <w:hyperlink r:id="rId44">
              <w:r>
                <w:rPr>
                  <w:rStyle w:val="InternetLink"/>
                  <w:sz w:val="20"/>
                </w:rPr>
                <w:t>Form of Registration Rights Agreement dated May 21, 2026, by and between Company and Investors</w:t>
              </w:r>
            </w:hyperlink>
            <w:r>
              <w:rPr/>
              <w:t xml:space="preserve"> </w:t>
            </w:r>
          </w:p>
        </w:tc>
        <w:tc>
          <w:tcPr>
            <w:tcW w:w="86" w:type="dxa"/>
            <w:tcBorders/>
            <w:vAlign w:val="center"/>
          </w:tcPr>
          <w:p>
            <w:pPr>
              <w:pStyle w:val="TableContents"/>
              <w:bidi w:val="0"/>
              <w:spacing w:before="0" w:after="283"/>
              <w:jc w:val="left"/>
              <w:rPr/>
            </w:pPr>
            <w:r>
              <w:rPr/>
              <w:t xml:space="preserve">  </w:t>
            </w:r>
          </w:p>
        </w:tc>
        <w:tc>
          <w:tcPr>
            <w:tcW w:w="559" w:type="dxa"/>
            <w:tcBorders/>
            <w:vAlign w:val="center"/>
          </w:tcPr>
          <w:p>
            <w:pPr>
              <w:pStyle w:val="TableContents"/>
              <w:bidi w:val="0"/>
              <w:spacing w:before="0" w:after="283"/>
              <w:jc w:val="center"/>
              <w:rPr/>
            </w:pPr>
            <w:r>
              <w:rPr>
                <w:sz w:val="20"/>
              </w:rPr>
              <w:t>8-K</w:t>
            </w:r>
            <w:r>
              <w:rPr/>
              <w:t xml:space="preserve"> </w:t>
            </w:r>
          </w:p>
        </w:tc>
        <w:tc>
          <w:tcPr>
            <w:tcW w:w="86" w:type="dxa"/>
            <w:tcBorders/>
            <w:vAlign w:val="center"/>
          </w:tcPr>
          <w:p>
            <w:pPr>
              <w:pStyle w:val="TableContents"/>
              <w:bidi w:val="0"/>
              <w:spacing w:before="0" w:after="283"/>
              <w:jc w:val="left"/>
              <w:rPr/>
            </w:pPr>
            <w:r>
              <w:rPr/>
              <w:t xml:space="preserve">  </w:t>
            </w:r>
          </w:p>
        </w:tc>
        <w:tc>
          <w:tcPr>
            <w:tcW w:w="853" w:type="dxa"/>
            <w:tcBorders/>
            <w:vAlign w:val="center"/>
          </w:tcPr>
          <w:p>
            <w:pPr>
              <w:pStyle w:val="TableContents"/>
              <w:bidi w:val="0"/>
              <w:spacing w:before="0" w:after="283"/>
              <w:jc w:val="center"/>
              <w:rPr/>
            </w:pPr>
            <w:r>
              <w:rPr>
                <w:sz w:val="20"/>
              </w:rPr>
              <w:t>001-40591</w:t>
            </w:r>
            <w:r>
              <w:rPr/>
              <w:t xml:space="preserve"> </w:t>
            </w:r>
          </w:p>
        </w:tc>
        <w:tc>
          <w:tcPr>
            <w:tcW w:w="86" w:type="dxa"/>
            <w:tcBorders/>
            <w:vAlign w:val="center"/>
          </w:tcPr>
          <w:p>
            <w:pPr>
              <w:pStyle w:val="TableContents"/>
              <w:bidi w:val="0"/>
              <w:spacing w:before="0" w:after="283"/>
              <w:jc w:val="left"/>
              <w:rPr/>
            </w:pPr>
            <w:r>
              <w:rPr/>
              <w:t xml:space="preserve">  </w:t>
            </w:r>
          </w:p>
        </w:tc>
        <w:tc>
          <w:tcPr>
            <w:tcW w:w="794" w:type="dxa"/>
            <w:tcBorders/>
            <w:vAlign w:val="center"/>
          </w:tcPr>
          <w:p>
            <w:pPr>
              <w:pStyle w:val="TableContents"/>
              <w:bidi w:val="0"/>
              <w:spacing w:before="0" w:after="283"/>
              <w:jc w:val="center"/>
              <w:rPr/>
            </w:pPr>
            <w:r>
              <w:rPr>
                <w:sz w:val="20"/>
              </w:rPr>
              <w:t>10.2</w:t>
            </w:r>
            <w:r>
              <w:rPr/>
              <w:t xml:space="preserve"> </w:t>
            </w:r>
          </w:p>
        </w:tc>
        <w:tc>
          <w:tcPr>
            <w:tcW w:w="86" w:type="dxa"/>
            <w:tcBorders/>
            <w:vAlign w:val="center"/>
          </w:tcPr>
          <w:p>
            <w:pPr>
              <w:pStyle w:val="TableContents"/>
              <w:bidi w:val="0"/>
              <w:spacing w:before="0" w:after="283"/>
              <w:jc w:val="left"/>
              <w:rPr/>
            </w:pPr>
            <w:r>
              <w:rPr/>
              <w:t xml:space="preserve">  </w:t>
            </w:r>
          </w:p>
        </w:tc>
        <w:tc>
          <w:tcPr>
            <w:tcW w:w="806" w:type="dxa"/>
            <w:tcBorders/>
            <w:vAlign w:val="center"/>
          </w:tcPr>
          <w:p>
            <w:pPr>
              <w:pStyle w:val="TableContents"/>
              <w:bidi w:val="0"/>
              <w:spacing w:before="0" w:after="283"/>
              <w:jc w:val="center"/>
              <w:rPr/>
            </w:pPr>
            <w:r>
              <w:rPr>
                <w:sz w:val="20"/>
              </w:rPr>
              <w:t>05/21/2026</w:t>
            </w:r>
            <w:r>
              <w:rPr/>
              <w:t xml:space="preserve"> </w:t>
            </w:r>
          </w:p>
        </w:tc>
        <w:tc>
          <w:tcPr>
            <w:tcW w:w="86" w:type="dxa"/>
            <w:tcBorders/>
            <w:vAlign w:val="center"/>
          </w:tcPr>
          <w:p>
            <w:pPr>
              <w:pStyle w:val="TableContents"/>
              <w:bidi w:val="0"/>
              <w:spacing w:before="0" w:after="283"/>
              <w:jc w:val="left"/>
              <w:rPr/>
            </w:pPr>
            <w:r>
              <w:rPr/>
              <w:t xml:space="preserve">  </w:t>
            </w:r>
          </w:p>
        </w:tc>
        <w:tc>
          <w:tcPr>
            <w:tcW w:w="835" w:type="dxa"/>
            <w:tcBorders/>
            <w:vAlign w:val="center"/>
          </w:tcPr>
          <w:p>
            <w:pPr>
              <w:pStyle w:val="TableContents"/>
              <w:bidi w:val="0"/>
              <w:spacing w:before="0" w:after="283"/>
              <w:jc w:val="center"/>
              <w:rPr/>
            </w:pPr>
            <w:r>
              <w:rPr/>
              <w:t xml:space="preserve">  </w:t>
            </w:r>
          </w:p>
        </w:tc>
      </w:tr>
      <w:tr>
        <w:trPr/>
        <w:tc>
          <w:tcPr>
            <w:tcW w:w="809" w:type="dxa"/>
            <w:tcBorders/>
            <w:vAlign w:val="center"/>
          </w:tcPr>
          <w:p>
            <w:pPr>
              <w:pStyle w:val="TableContents"/>
              <w:bidi w:val="0"/>
              <w:spacing w:before="0" w:after="283"/>
              <w:jc w:val="center"/>
              <w:rPr/>
            </w:pPr>
            <w:r>
              <w:rPr>
                <w:sz w:val="20"/>
              </w:rPr>
              <w:t>10.7</w:t>
            </w:r>
            <w:r>
              <w:rPr/>
              <w:t xml:space="preserve"> </w:t>
            </w:r>
          </w:p>
        </w:tc>
        <w:tc>
          <w:tcPr>
            <w:tcW w:w="86" w:type="dxa"/>
            <w:tcBorders/>
            <w:vAlign w:val="center"/>
          </w:tcPr>
          <w:p>
            <w:pPr>
              <w:pStyle w:val="TableContents"/>
              <w:bidi w:val="0"/>
              <w:spacing w:before="0" w:after="283"/>
              <w:jc w:val="left"/>
              <w:rPr/>
            </w:pPr>
            <w:r>
              <w:rPr/>
              <w:t xml:space="preserve">  </w:t>
            </w:r>
          </w:p>
        </w:tc>
        <w:tc>
          <w:tcPr>
            <w:tcW w:w="5033" w:type="dxa"/>
            <w:tcBorders/>
            <w:vAlign w:val="center"/>
          </w:tcPr>
          <w:p>
            <w:pPr>
              <w:pStyle w:val="TableContents"/>
              <w:bidi w:val="0"/>
              <w:spacing w:before="0" w:after="283"/>
              <w:jc w:val="both"/>
              <w:rPr/>
            </w:pPr>
            <w:hyperlink r:id="rId45">
              <w:r>
                <w:rPr>
                  <w:rStyle w:val="InternetLink"/>
                  <w:sz w:val="20"/>
                </w:rPr>
                <w:t>Form of Lock Up Agreement dated May 21, 2026, by and between Company and certain Investors, Officers and Directors</w:t>
              </w:r>
            </w:hyperlink>
          </w:p>
        </w:tc>
        <w:tc>
          <w:tcPr>
            <w:tcW w:w="86" w:type="dxa"/>
            <w:tcBorders/>
            <w:vAlign w:val="center"/>
          </w:tcPr>
          <w:p>
            <w:pPr>
              <w:pStyle w:val="TableContents"/>
              <w:bidi w:val="0"/>
              <w:spacing w:before="0" w:after="283"/>
              <w:jc w:val="left"/>
              <w:rPr/>
            </w:pPr>
            <w:r>
              <w:rPr/>
              <w:t xml:space="preserve">  </w:t>
            </w:r>
          </w:p>
        </w:tc>
        <w:tc>
          <w:tcPr>
            <w:tcW w:w="559" w:type="dxa"/>
            <w:tcBorders/>
            <w:vAlign w:val="center"/>
          </w:tcPr>
          <w:p>
            <w:pPr>
              <w:pStyle w:val="TableContents"/>
              <w:bidi w:val="0"/>
              <w:spacing w:before="0" w:after="283"/>
              <w:jc w:val="center"/>
              <w:rPr/>
            </w:pPr>
            <w:r>
              <w:rPr/>
              <w:t xml:space="preserve">10-Q  </w:t>
            </w:r>
          </w:p>
        </w:tc>
        <w:tc>
          <w:tcPr>
            <w:tcW w:w="86" w:type="dxa"/>
            <w:tcBorders/>
            <w:vAlign w:val="center"/>
          </w:tcPr>
          <w:p>
            <w:pPr>
              <w:pStyle w:val="TableContents"/>
              <w:bidi w:val="0"/>
              <w:spacing w:before="0" w:after="283"/>
              <w:jc w:val="left"/>
              <w:rPr/>
            </w:pPr>
            <w:r>
              <w:rPr/>
              <w:t xml:space="preserve">  </w:t>
            </w:r>
          </w:p>
        </w:tc>
        <w:tc>
          <w:tcPr>
            <w:tcW w:w="853" w:type="dxa"/>
            <w:tcBorders/>
            <w:vAlign w:val="center"/>
          </w:tcPr>
          <w:p>
            <w:pPr>
              <w:pStyle w:val="TableContents"/>
              <w:bidi w:val="0"/>
              <w:spacing w:before="0" w:after="283"/>
              <w:jc w:val="center"/>
              <w:rPr/>
            </w:pPr>
            <w:r>
              <w:rPr/>
              <w:t xml:space="preserve">011-40591 </w:t>
            </w:r>
          </w:p>
        </w:tc>
        <w:tc>
          <w:tcPr>
            <w:tcW w:w="86" w:type="dxa"/>
            <w:tcBorders/>
            <w:vAlign w:val="center"/>
          </w:tcPr>
          <w:p>
            <w:pPr>
              <w:pStyle w:val="TableContents"/>
              <w:bidi w:val="0"/>
              <w:spacing w:before="0" w:after="283"/>
              <w:jc w:val="left"/>
              <w:rPr/>
            </w:pPr>
            <w:r>
              <w:rPr/>
              <w:t xml:space="preserve">  </w:t>
            </w:r>
          </w:p>
        </w:tc>
        <w:tc>
          <w:tcPr>
            <w:tcW w:w="794" w:type="dxa"/>
            <w:tcBorders/>
            <w:vAlign w:val="center"/>
          </w:tcPr>
          <w:p>
            <w:pPr>
              <w:pStyle w:val="TableContents"/>
              <w:bidi w:val="0"/>
              <w:spacing w:before="0" w:after="283"/>
              <w:jc w:val="center"/>
              <w:rPr/>
            </w:pPr>
            <w:r>
              <w:rPr/>
              <w:t xml:space="preserve">10.7 </w:t>
            </w:r>
          </w:p>
        </w:tc>
        <w:tc>
          <w:tcPr>
            <w:tcW w:w="86" w:type="dxa"/>
            <w:tcBorders/>
            <w:vAlign w:val="center"/>
          </w:tcPr>
          <w:p>
            <w:pPr>
              <w:pStyle w:val="TableContents"/>
              <w:bidi w:val="0"/>
              <w:spacing w:before="0" w:after="283"/>
              <w:jc w:val="left"/>
              <w:rPr/>
            </w:pPr>
            <w:r>
              <w:rPr/>
              <w:t xml:space="preserve">  </w:t>
            </w:r>
          </w:p>
        </w:tc>
        <w:tc>
          <w:tcPr>
            <w:tcW w:w="806" w:type="dxa"/>
            <w:tcBorders/>
            <w:vAlign w:val="center"/>
          </w:tcPr>
          <w:p>
            <w:pPr>
              <w:pStyle w:val="TableContents"/>
              <w:bidi w:val="0"/>
              <w:spacing w:before="0" w:after="283"/>
              <w:jc w:val="center"/>
              <w:rPr/>
            </w:pPr>
            <w:r>
              <w:rPr/>
              <w:t xml:space="preserve">08/14/2026 </w:t>
            </w:r>
          </w:p>
        </w:tc>
        <w:tc>
          <w:tcPr>
            <w:tcW w:w="86" w:type="dxa"/>
            <w:tcBorders/>
            <w:vAlign w:val="center"/>
          </w:tcPr>
          <w:p>
            <w:pPr>
              <w:pStyle w:val="TableContents"/>
              <w:bidi w:val="0"/>
              <w:spacing w:before="0" w:after="283"/>
              <w:jc w:val="left"/>
              <w:rPr/>
            </w:pPr>
            <w:r>
              <w:rPr/>
              <w:t xml:space="preserve">  </w:t>
            </w:r>
          </w:p>
        </w:tc>
        <w:tc>
          <w:tcPr>
            <w:tcW w:w="835" w:type="dxa"/>
            <w:tcBorders/>
            <w:vAlign w:val="center"/>
          </w:tcPr>
          <w:p>
            <w:pPr>
              <w:pStyle w:val="TableContents"/>
              <w:bidi w:val="0"/>
              <w:spacing w:before="0" w:after="283"/>
              <w:jc w:val="left"/>
              <w:rPr>
                <w:sz w:val="4"/>
                <w:szCs w:val="4"/>
              </w:rPr>
            </w:pPr>
            <w:r>
              <w:rPr>
                <w:sz w:val="4"/>
                <w:szCs w:val="4"/>
              </w:rPr>
            </w:r>
          </w:p>
        </w:tc>
      </w:tr>
      <w:tr>
        <w:trPr/>
        <w:tc>
          <w:tcPr>
            <w:tcW w:w="809" w:type="dxa"/>
            <w:tcBorders/>
            <w:vAlign w:val="center"/>
          </w:tcPr>
          <w:p>
            <w:pPr>
              <w:pStyle w:val="TableContents"/>
              <w:bidi w:val="0"/>
              <w:spacing w:before="0" w:after="283"/>
              <w:jc w:val="center"/>
              <w:rPr/>
            </w:pPr>
            <w:r>
              <w:rPr>
                <w:sz w:val="20"/>
              </w:rPr>
              <w:t>10.8</w:t>
            </w:r>
            <w:r>
              <w:rPr/>
              <w:t xml:space="preserve"> </w:t>
            </w:r>
          </w:p>
        </w:tc>
        <w:tc>
          <w:tcPr>
            <w:tcW w:w="86" w:type="dxa"/>
            <w:tcBorders/>
            <w:vAlign w:val="center"/>
          </w:tcPr>
          <w:p>
            <w:pPr>
              <w:pStyle w:val="TableContents"/>
              <w:bidi w:val="0"/>
              <w:spacing w:before="0" w:after="283"/>
              <w:jc w:val="left"/>
              <w:rPr/>
            </w:pPr>
            <w:r>
              <w:rPr/>
              <w:t xml:space="preserve">  </w:t>
            </w:r>
          </w:p>
        </w:tc>
        <w:tc>
          <w:tcPr>
            <w:tcW w:w="5033" w:type="dxa"/>
            <w:tcBorders/>
            <w:vAlign w:val="center"/>
          </w:tcPr>
          <w:p>
            <w:pPr>
              <w:pStyle w:val="TableContents"/>
              <w:bidi w:val="0"/>
              <w:spacing w:before="0" w:after="283"/>
              <w:jc w:val="both"/>
              <w:rPr/>
            </w:pPr>
            <w:hyperlink r:id="rId46">
              <w:r>
                <w:rPr>
                  <w:rStyle w:val="InternetLink"/>
                  <w:sz w:val="20"/>
                </w:rPr>
                <w:t>Form of Placement Agent Agreement, dated May 21, 2026, between the Company and E.F. Hutton &amp; Co. LLC</w:t>
              </w:r>
            </w:hyperlink>
            <w:r>
              <w:rPr/>
              <w:t xml:space="preserve"> </w:t>
            </w:r>
          </w:p>
        </w:tc>
        <w:tc>
          <w:tcPr>
            <w:tcW w:w="86" w:type="dxa"/>
            <w:tcBorders/>
            <w:vAlign w:val="center"/>
          </w:tcPr>
          <w:p>
            <w:pPr>
              <w:pStyle w:val="TableContents"/>
              <w:bidi w:val="0"/>
              <w:spacing w:before="0" w:after="283"/>
              <w:jc w:val="left"/>
              <w:rPr/>
            </w:pPr>
            <w:r>
              <w:rPr/>
              <w:t xml:space="preserve">  </w:t>
            </w:r>
          </w:p>
        </w:tc>
        <w:tc>
          <w:tcPr>
            <w:tcW w:w="559" w:type="dxa"/>
            <w:tcBorders/>
            <w:vAlign w:val="center"/>
          </w:tcPr>
          <w:p>
            <w:pPr>
              <w:pStyle w:val="TableContents"/>
              <w:bidi w:val="0"/>
              <w:spacing w:before="0" w:after="283"/>
              <w:jc w:val="center"/>
              <w:rPr/>
            </w:pPr>
            <w:r>
              <w:rPr>
                <w:sz w:val="20"/>
              </w:rPr>
              <w:t>8-K</w:t>
            </w:r>
            <w:r>
              <w:rPr/>
              <w:t xml:space="preserve"> </w:t>
            </w:r>
          </w:p>
        </w:tc>
        <w:tc>
          <w:tcPr>
            <w:tcW w:w="86" w:type="dxa"/>
            <w:tcBorders/>
            <w:vAlign w:val="center"/>
          </w:tcPr>
          <w:p>
            <w:pPr>
              <w:pStyle w:val="TableContents"/>
              <w:bidi w:val="0"/>
              <w:spacing w:before="0" w:after="283"/>
              <w:jc w:val="left"/>
              <w:rPr/>
            </w:pPr>
            <w:r>
              <w:rPr/>
              <w:t xml:space="preserve">  </w:t>
            </w:r>
          </w:p>
        </w:tc>
        <w:tc>
          <w:tcPr>
            <w:tcW w:w="853" w:type="dxa"/>
            <w:tcBorders/>
            <w:vAlign w:val="center"/>
          </w:tcPr>
          <w:p>
            <w:pPr>
              <w:pStyle w:val="TableContents"/>
              <w:bidi w:val="0"/>
              <w:spacing w:before="0" w:after="283"/>
              <w:jc w:val="center"/>
              <w:rPr/>
            </w:pPr>
            <w:r>
              <w:rPr>
                <w:sz w:val="20"/>
              </w:rPr>
              <w:t>001-40591</w:t>
            </w:r>
            <w:r>
              <w:rPr/>
              <w:t xml:space="preserve"> </w:t>
            </w:r>
          </w:p>
        </w:tc>
        <w:tc>
          <w:tcPr>
            <w:tcW w:w="86" w:type="dxa"/>
            <w:tcBorders/>
            <w:vAlign w:val="center"/>
          </w:tcPr>
          <w:p>
            <w:pPr>
              <w:pStyle w:val="TableContents"/>
              <w:bidi w:val="0"/>
              <w:spacing w:before="0" w:after="283"/>
              <w:jc w:val="left"/>
              <w:rPr/>
            </w:pPr>
            <w:r>
              <w:rPr/>
              <w:t xml:space="preserve">  </w:t>
            </w:r>
          </w:p>
        </w:tc>
        <w:tc>
          <w:tcPr>
            <w:tcW w:w="794" w:type="dxa"/>
            <w:tcBorders/>
            <w:vAlign w:val="center"/>
          </w:tcPr>
          <w:p>
            <w:pPr>
              <w:pStyle w:val="TableContents"/>
              <w:bidi w:val="0"/>
              <w:spacing w:before="0" w:after="283"/>
              <w:jc w:val="center"/>
              <w:rPr/>
            </w:pPr>
            <w:r>
              <w:rPr>
                <w:sz w:val="20"/>
              </w:rPr>
              <w:t>10.3</w:t>
            </w:r>
            <w:r>
              <w:rPr/>
              <w:t xml:space="preserve"> </w:t>
            </w:r>
          </w:p>
        </w:tc>
        <w:tc>
          <w:tcPr>
            <w:tcW w:w="86" w:type="dxa"/>
            <w:tcBorders/>
            <w:vAlign w:val="center"/>
          </w:tcPr>
          <w:p>
            <w:pPr>
              <w:pStyle w:val="TableContents"/>
              <w:bidi w:val="0"/>
              <w:spacing w:before="0" w:after="283"/>
              <w:jc w:val="left"/>
              <w:rPr/>
            </w:pPr>
            <w:r>
              <w:rPr/>
              <w:t xml:space="preserve">  </w:t>
            </w:r>
          </w:p>
        </w:tc>
        <w:tc>
          <w:tcPr>
            <w:tcW w:w="806" w:type="dxa"/>
            <w:tcBorders/>
            <w:vAlign w:val="center"/>
          </w:tcPr>
          <w:p>
            <w:pPr>
              <w:pStyle w:val="TableContents"/>
              <w:bidi w:val="0"/>
              <w:spacing w:before="0" w:after="283"/>
              <w:jc w:val="center"/>
              <w:rPr/>
            </w:pPr>
            <w:r>
              <w:rPr>
                <w:sz w:val="20"/>
              </w:rPr>
              <w:t>05/21/2026</w:t>
            </w:r>
            <w:r>
              <w:rPr/>
              <w:t xml:space="preserve"> </w:t>
            </w:r>
          </w:p>
        </w:tc>
        <w:tc>
          <w:tcPr>
            <w:tcW w:w="86" w:type="dxa"/>
            <w:tcBorders/>
            <w:vAlign w:val="center"/>
          </w:tcPr>
          <w:p>
            <w:pPr>
              <w:pStyle w:val="TableContents"/>
              <w:bidi w:val="0"/>
              <w:spacing w:before="0" w:after="283"/>
              <w:jc w:val="left"/>
              <w:rPr/>
            </w:pPr>
            <w:r>
              <w:rPr/>
              <w:t xml:space="preserve">  </w:t>
            </w:r>
          </w:p>
        </w:tc>
        <w:tc>
          <w:tcPr>
            <w:tcW w:w="835" w:type="dxa"/>
            <w:tcBorders/>
            <w:vAlign w:val="center"/>
          </w:tcPr>
          <w:p>
            <w:pPr>
              <w:pStyle w:val="TableContents"/>
              <w:bidi w:val="0"/>
              <w:spacing w:before="0" w:after="283"/>
              <w:jc w:val="center"/>
              <w:rPr/>
            </w:pPr>
            <w:r>
              <w:rPr/>
              <w:t xml:space="preserve">  </w:t>
            </w:r>
          </w:p>
        </w:tc>
      </w:tr>
      <w:tr>
        <w:trPr/>
        <w:tc>
          <w:tcPr>
            <w:tcW w:w="809" w:type="dxa"/>
            <w:tcBorders/>
            <w:vAlign w:val="center"/>
          </w:tcPr>
          <w:p>
            <w:pPr>
              <w:pStyle w:val="TableContents"/>
              <w:bidi w:val="0"/>
              <w:spacing w:before="0" w:after="283"/>
              <w:jc w:val="center"/>
              <w:rPr/>
            </w:pPr>
            <w:r>
              <w:rPr>
                <w:sz w:val="20"/>
              </w:rPr>
              <w:t>10.9</w:t>
            </w:r>
            <w:r>
              <w:rPr/>
              <w:t xml:space="preserve"> </w:t>
            </w:r>
          </w:p>
        </w:tc>
        <w:tc>
          <w:tcPr>
            <w:tcW w:w="86" w:type="dxa"/>
            <w:tcBorders/>
            <w:vAlign w:val="center"/>
          </w:tcPr>
          <w:p>
            <w:pPr>
              <w:pStyle w:val="TableContents"/>
              <w:bidi w:val="0"/>
              <w:spacing w:before="0" w:after="283"/>
              <w:jc w:val="left"/>
              <w:rPr/>
            </w:pPr>
            <w:r>
              <w:rPr/>
              <w:t xml:space="preserve">  </w:t>
            </w:r>
          </w:p>
        </w:tc>
        <w:tc>
          <w:tcPr>
            <w:tcW w:w="5033" w:type="dxa"/>
            <w:tcBorders/>
            <w:vAlign w:val="center"/>
          </w:tcPr>
          <w:p>
            <w:pPr>
              <w:pStyle w:val="TableContents"/>
              <w:bidi w:val="0"/>
              <w:spacing w:before="0" w:after="283"/>
              <w:jc w:val="both"/>
              <w:rPr/>
            </w:pPr>
            <w:hyperlink r:id="rId47">
              <w:r>
                <w:rPr>
                  <w:rStyle w:val="InternetLink"/>
                  <w:sz w:val="20"/>
                </w:rPr>
                <w:t>Form of Securities Purchase Agreement, between Company and Investors</w:t>
              </w:r>
            </w:hyperlink>
            <w:r>
              <w:rPr/>
              <w:t xml:space="preserve"> </w:t>
            </w:r>
          </w:p>
        </w:tc>
        <w:tc>
          <w:tcPr>
            <w:tcW w:w="86" w:type="dxa"/>
            <w:tcBorders/>
            <w:vAlign w:val="center"/>
          </w:tcPr>
          <w:p>
            <w:pPr>
              <w:pStyle w:val="TableContents"/>
              <w:bidi w:val="0"/>
              <w:spacing w:before="0" w:after="283"/>
              <w:jc w:val="left"/>
              <w:rPr/>
            </w:pPr>
            <w:r>
              <w:rPr/>
              <w:t xml:space="preserve">  </w:t>
            </w:r>
          </w:p>
        </w:tc>
        <w:tc>
          <w:tcPr>
            <w:tcW w:w="559" w:type="dxa"/>
            <w:tcBorders/>
            <w:vAlign w:val="center"/>
          </w:tcPr>
          <w:p>
            <w:pPr>
              <w:pStyle w:val="TableContents"/>
              <w:bidi w:val="0"/>
              <w:spacing w:before="0" w:after="283"/>
              <w:jc w:val="center"/>
              <w:rPr/>
            </w:pPr>
            <w:r>
              <w:rPr/>
              <w:t>8-K</w:t>
            </w:r>
          </w:p>
        </w:tc>
        <w:tc>
          <w:tcPr>
            <w:tcW w:w="86" w:type="dxa"/>
            <w:tcBorders/>
            <w:vAlign w:val="center"/>
          </w:tcPr>
          <w:p>
            <w:pPr>
              <w:pStyle w:val="TableContents"/>
              <w:bidi w:val="0"/>
              <w:spacing w:before="0" w:after="283"/>
              <w:jc w:val="left"/>
              <w:rPr/>
            </w:pPr>
            <w:r>
              <w:rPr/>
              <w:t xml:space="preserve">  </w:t>
            </w:r>
          </w:p>
        </w:tc>
        <w:tc>
          <w:tcPr>
            <w:tcW w:w="853" w:type="dxa"/>
            <w:tcBorders/>
            <w:vAlign w:val="center"/>
          </w:tcPr>
          <w:p>
            <w:pPr>
              <w:pStyle w:val="TableContents"/>
              <w:bidi w:val="0"/>
              <w:spacing w:before="0" w:after="283"/>
              <w:jc w:val="center"/>
              <w:rPr/>
            </w:pPr>
            <w:r>
              <w:rPr/>
              <w:t>001-40591</w:t>
            </w:r>
          </w:p>
        </w:tc>
        <w:tc>
          <w:tcPr>
            <w:tcW w:w="86" w:type="dxa"/>
            <w:tcBorders/>
            <w:vAlign w:val="center"/>
          </w:tcPr>
          <w:p>
            <w:pPr>
              <w:pStyle w:val="TableContents"/>
              <w:bidi w:val="0"/>
              <w:spacing w:before="0" w:after="283"/>
              <w:jc w:val="left"/>
              <w:rPr/>
            </w:pPr>
            <w:r>
              <w:rPr/>
              <w:t xml:space="preserve">  </w:t>
            </w:r>
          </w:p>
        </w:tc>
        <w:tc>
          <w:tcPr>
            <w:tcW w:w="794" w:type="dxa"/>
            <w:tcBorders/>
            <w:vAlign w:val="center"/>
          </w:tcPr>
          <w:p>
            <w:pPr>
              <w:pStyle w:val="TableContents"/>
              <w:bidi w:val="0"/>
              <w:spacing w:before="0" w:after="283"/>
              <w:jc w:val="center"/>
              <w:rPr/>
            </w:pPr>
            <w:r>
              <w:rPr/>
              <w:t>10.1</w:t>
            </w:r>
          </w:p>
        </w:tc>
        <w:tc>
          <w:tcPr>
            <w:tcW w:w="86" w:type="dxa"/>
            <w:tcBorders/>
            <w:vAlign w:val="center"/>
          </w:tcPr>
          <w:p>
            <w:pPr>
              <w:pStyle w:val="TableContents"/>
              <w:bidi w:val="0"/>
              <w:spacing w:before="0" w:after="283"/>
              <w:jc w:val="left"/>
              <w:rPr/>
            </w:pPr>
            <w:r>
              <w:rPr/>
              <w:t xml:space="preserve">  </w:t>
            </w:r>
          </w:p>
        </w:tc>
        <w:tc>
          <w:tcPr>
            <w:tcW w:w="806" w:type="dxa"/>
            <w:tcBorders/>
            <w:vAlign w:val="center"/>
          </w:tcPr>
          <w:p>
            <w:pPr>
              <w:pStyle w:val="TableContents"/>
              <w:bidi w:val="0"/>
              <w:spacing w:before="0" w:after="283"/>
              <w:jc w:val="center"/>
              <w:rPr/>
            </w:pPr>
            <w:r>
              <w:rPr/>
              <w:t>07/29/2026</w:t>
            </w:r>
          </w:p>
        </w:tc>
        <w:tc>
          <w:tcPr>
            <w:tcW w:w="86" w:type="dxa"/>
            <w:tcBorders/>
            <w:vAlign w:val="center"/>
          </w:tcPr>
          <w:p>
            <w:pPr>
              <w:pStyle w:val="TableContents"/>
              <w:bidi w:val="0"/>
              <w:spacing w:before="0" w:after="283"/>
              <w:jc w:val="left"/>
              <w:rPr/>
            </w:pPr>
            <w:r>
              <w:rPr/>
              <w:t xml:space="preserve">  </w:t>
            </w:r>
          </w:p>
        </w:tc>
        <w:tc>
          <w:tcPr>
            <w:tcW w:w="835" w:type="dxa"/>
            <w:tcBorders/>
            <w:vAlign w:val="center"/>
          </w:tcPr>
          <w:p>
            <w:pPr>
              <w:pStyle w:val="TableContents"/>
              <w:bidi w:val="0"/>
              <w:spacing w:before="0" w:after="283"/>
              <w:jc w:val="center"/>
              <w:rPr/>
            </w:pPr>
            <w:r>
              <w:rPr/>
              <w:t xml:space="preserve">  </w:t>
            </w:r>
          </w:p>
        </w:tc>
      </w:tr>
      <w:tr>
        <w:trPr/>
        <w:tc>
          <w:tcPr>
            <w:tcW w:w="809" w:type="dxa"/>
            <w:tcBorders/>
            <w:vAlign w:val="center"/>
          </w:tcPr>
          <w:p>
            <w:pPr>
              <w:pStyle w:val="TableContents"/>
              <w:bidi w:val="0"/>
              <w:spacing w:before="0" w:after="283"/>
              <w:jc w:val="center"/>
              <w:rPr/>
            </w:pPr>
            <w:r>
              <w:rPr/>
              <w:t>10.10</w:t>
            </w:r>
          </w:p>
        </w:tc>
        <w:tc>
          <w:tcPr>
            <w:tcW w:w="86" w:type="dxa"/>
            <w:tcBorders/>
            <w:vAlign w:val="center"/>
          </w:tcPr>
          <w:p>
            <w:pPr>
              <w:pStyle w:val="TableContents"/>
              <w:bidi w:val="0"/>
              <w:spacing w:before="0" w:after="283"/>
              <w:jc w:val="left"/>
              <w:rPr/>
            </w:pPr>
            <w:r>
              <w:rPr/>
              <w:t> </w:t>
            </w:r>
          </w:p>
        </w:tc>
        <w:tc>
          <w:tcPr>
            <w:tcW w:w="5033" w:type="dxa"/>
            <w:tcBorders/>
            <w:vAlign w:val="center"/>
          </w:tcPr>
          <w:p>
            <w:pPr>
              <w:pStyle w:val="TableContents"/>
              <w:bidi w:val="0"/>
              <w:spacing w:before="0" w:after="283"/>
              <w:jc w:val="both"/>
              <w:rPr/>
            </w:pPr>
            <w:hyperlink r:id="rId48">
              <w:r>
                <w:rPr>
                  <w:rStyle w:val="InternetLink"/>
                </w:rPr>
                <w:t>Form of Registration Rights Agreement, by and between Company and Investors</w:t>
              </w:r>
            </w:hyperlink>
          </w:p>
        </w:tc>
        <w:tc>
          <w:tcPr>
            <w:tcW w:w="86"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center"/>
              <w:rPr/>
            </w:pPr>
            <w:r>
              <w:rPr/>
              <w:t>8-K</w:t>
            </w:r>
          </w:p>
        </w:tc>
        <w:tc>
          <w:tcPr>
            <w:tcW w:w="8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center"/>
              <w:rPr/>
            </w:pPr>
            <w:r>
              <w:rPr/>
              <w:t>001-40591</w:t>
            </w:r>
          </w:p>
        </w:tc>
        <w:tc>
          <w:tcPr>
            <w:tcW w:w="86"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center"/>
              <w:rPr/>
            </w:pPr>
            <w:r>
              <w:rPr/>
              <w:t>10.2</w:t>
            </w:r>
          </w:p>
        </w:tc>
        <w:tc>
          <w:tcPr>
            <w:tcW w:w="86"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07/29/2026</w:t>
            </w:r>
          </w:p>
        </w:tc>
        <w:tc>
          <w:tcPr>
            <w:tcW w:w="86"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center"/>
              <w:rPr/>
            </w:pPr>
            <w:r>
              <w:rPr/>
              <w:t> </w:t>
            </w:r>
          </w:p>
        </w:tc>
      </w:tr>
      <w:tr>
        <w:trPr/>
        <w:tc>
          <w:tcPr>
            <w:tcW w:w="809" w:type="dxa"/>
            <w:tcBorders/>
            <w:vAlign w:val="center"/>
          </w:tcPr>
          <w:p>
            <w:pPr>
              <w:pStyle w:val="TableContents"/>
              <w:bidi w:val="0"/>
              <w:spacing w:before="0" w:after="283"/>
              <w:jc w:val="center"/>
              <w:rPr/>
            </w:pPr>
            <w:r>
              <w:rPr>
                <w:sz w:val="20"/>
              </w:rPr>
              <w:t>10.11</w:t>
            </w:r>
            <w:r>
              <w:rPr/>
              <w:t xml:space="preserve"> </w:t>
            </w:r>
          </w:p>
        </w:tc>
        <w:tc>
          <w:tcPr>
            <w:tcW w:w="86" w:type="dxa"/>
            <w:tcBorders/>
            <w:vAlign w:val="center"/>
          </w:tcPr>
          <w:p>
            <w:pPr>
              <w:pStyle w:val="TableContents"/>
              <w:bidi w:val="0"/>
              <w:spacing w:before="0" w:after="283"/>
              <w:jc w:val="left"/>
              <w:rPr/>
            </w:pPr>
            <w:r>
              <w:rPr/>
              <w:t xml:space="preserve">  </w:t>
            </w:r>
          </w:p>
        </w:tc>
        <w:tc>
          <w:tcPr>
            <w:tcW w:w="5033" w:type="dxa"/>
            <w:tcBorders/>
            <w:vAlign w:val="center"/>
          </w:tcPr>
          <w:p>
            <w:pPr>
              <w:pStyle w:val="TableContents"/>
              <w:bidi w:val="0"/>
              <w:spacing w:before="0" w:after="283"/>
              <w:jc w:val="both"/>
              <w:rPr/>
            </w:pPr>
            <w:hyperlink r:id="rId49">
              <w:r>
                <w:rPr>
                  <w:rStyle w:val="InternetLink"/>
                  <w:sz w:val="20"/>
                </w:rPr>
                <w:t>Form of Lock Up Agreement dated July 29, 2026, by and between Company and certain Officers and Directors</w:t>
              </w:r>
            </w:hyperlink>
          </w:p>
        </w:tc>
        <w:tc>
          <w:tcPr>
            <w:tcW w:w="86" w:type="dxa"/>
            <w:tcBorders/>
            <w:vAlign w:val="center"/>
          </w:tcPr>
          <w:p>
            <w:pPr>
              <w:pStyle w:val="TableContents"/>
              <w:bidi w:val="0"/>
              <w:spacing w:before="0" w:after="283"/>
              <w:jc w:val="left"/>
              <w:rPr/>
            </w:pPr>
            <w:r>
              <w:rPr/>
              <w:t xml:space="preserve">  </w:t>
            </w:r>
          </w:p>
        </w:tc>
        <w:tc>
          <w:tcPr>
            <w:tcW w:w="559" w:type="dxa"/>
            <w:tcBorders/>
            <w:vAlign w:val="center"/>
          </w:tcPr>
          <w:p>
            <w:pPr>
              <w:pStyle w:val="TableContents"/>
              <w:bidi w:val="0"/>
              <w:spacing w:before="0" w:after="283"/>
              <w:jc w:val="center"/>
              <w:rPr/>
            </w:pPr>
            <w:r>
              <w:rPr/>
              <w:t xml:space="preserve">10-Q </w:t>
            </w:r>
          </w:p>
        </w:tc>
        <w:tc>
          <w:tcPr>
            <w:tcW w:w="86" w:type="dxa"/>
            <w:tcBorders/>
            <w:vAlign w:val="center"/>
          </w:tcPr>
          <w:p>
            <w:pPr>
              <w:pStyle w:val="TableContents"/>
              <w:bidi w:val="0"/>
              <w:spacing w:before="0" w:after="283"/>
              <w:jc w:val="left"/>
              <w:rPr/>
            </w:pPr>
            <w:r>
              <w:rPr/>
              <w:t xml:space="preserve">  </w:t>
            </w:r>
          </w:p>
        </w:tc>
        <w:tc>
          <w:tcPr>
            <w:tcW w:w="853" w:type="dxa"/>
            <w:tcBorders/>
            <w:vAlign w:val="center"/>
          </w:tcPr>
          <w:p>
            <w:pPr>
              <w:pStyle w:val="TableContents"/>
              <w:bidi w:val="0"/>
              <w:spacing w:before="0" w:after="283"/>
              <w:jc w:val="center"/>
              <w:rPr/>
            </w:pPr>
            <w:r>
              <w:rPr/>
              <w:t xml:space="preserve">011-40591 </w:t>
            </w:r>
          </w:p>
        </w:tc>
        <w:tc>
          <w:tcPr>
            <w:tcW w:w="86" w:type="dxa"/>
            <w:tcBorders/>
            <w:vAlign w:val="center"/>
          </w:tcPr>
          <w:p>
            <w:pPr>
              <w:pStyle w:val="TableContents"/>
              <w:bidi w:val="0"/>
              <w:spacing w:before="0" w:after="283"/>
              <w:jc w:val="left"/>
              <w:rPr/>
            </w:pPr>
            <w:r>
              <w:rPr/>
              <w:t xml:space="preserve">  </w:t>
            </w:r>
          </w:p>
        </w:tc>
        <w:tc>
          <w:tcPr>
            <w:tcW w:w="794" w:type="dxa"/>
            <w:tcBorders/>
            <w:vAlign w:val="center"/>
          </w:tcPr>
          <w:p>
            <w:pPr>
              <w:pStyle w:val="TableContents"/>
              <w:bidi w:val="0"/>
              <w:spacing w:before="0" w:after="283"/>
              <w:jc w:val="center"/>
              <w:rPr/>
            </w:pPr>
            <w:r>
              <w:rPr/>
              <w:t xml:space="preserve">10.11 </w:t>
            </w:r>
          </w:p>
        </w:tc>
        <w:tc>
          <w:tcPr>
            <w:tcW w:w="86" w:type="dxa"/>
            <w:tcBorders/>
            <w:vAlign w:val="center"/>
          </w:tcPr>
          <w:p>
            <w:pPr>
              <w:pStyle w:val="TableContents"/>
              <w:bidi w:val="0"/>
              <w:spacing w:before="0" w:after="283"/>
              <w:jc w:val="left"/>
              <w:rPr/>
            </w:pPr>
            <w:r>
              <w:rPr/>
              <w:t xml:space="preserve">  </w:t>
            </w:r>
          </w:p>
        </w:tc>
        <w:tc>
          <w:tcPr>
            <w:tcW w:w="806" w:type="dxa"/>
            <w:tcBorders/>
            <w:vAlign w:val="center"/>
          </w:tcPr>
          <w:p>
            <w:pPr>
              <w:pStyle w:val="TableContents"/>
              <w:bidi w:val="0"/>
              <w:spacing w:before="0" w:after="283"/>
              <w:jc w:val="center"/>
              <w:rPr/>
            </w:pPr>
            <w:r>
              <w:rPr/>
              <w:t xml:space="preserve">08/14/2026 </w:t>
            </w:r>
          </w:p>
        </w:tc>
        <w:tc>
          <w:tcPr>
            <w:tcW w:w="86" w:type="dxa"/>
            <w:tcBorders/>
            <w:vAlign w:val="center"/>
          </w:tcPr>
          <w:p>
            <w:pPr>
              <w:pStyle w:val="TableContents"/>
              <w:bidi w:val="0"/>
              <w:spacing w:before="0" w:after="283"/>
              <w:jc w:val="left"/>
              <w:rPr/>
            </w:pPr>
            <w:r>
              <w:rPr/>
              <w:t xml:space="preserve">  </w:t>
            </w:r>
          </w:p>
        </w:tc>
        <w:tc>
          <w:tcPr>
            <w:tcW w:w="835" w:type="dxa"/>
            <w:tcBorders/>
            <w:vAlign w:val="center"/>
          </w:tcPr>
          <w:p>
            <w:pPr>
              <w:pStyle w:val="TableContents"/>
              <w:bidi w:val="0"/>
              <w:spacing w:before="0" w:after="283"/>
              <w:jc w:val="left"/>
              <w:rPr>
                <w:sz w:val="4"/>
                <w:szCs w:val="4"/>
              </w:rPr>
            </w:pPr>
            <w:r>
              <w:rPr>
                <w:sz w:val="4"/>
                <w:szCs w:val="4"/>
              </w:rPr>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10.12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Form of Indemnification Agreement between HCW Biologics Inc. and each of its officers and directors.</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10.13+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2019 Equity Incentive Plan, as amended, and forms of agreement thereunder.</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10.14+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First Amendment to 2019 Equity Incentive Plan.</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10.15+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2021 Equity Incentive Plan and forms of agreement thereunder</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333-256510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10.16+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Employment Agreement, dated July 6, 2021, between Peter Rhode and HCW Biologics Inc.</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10.17+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033"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Employment Agreement, dated October 9, 2019, between Rebecca Byam and HCW Biologics Inc.</w:t>
              </w:r>
            </w:hyperlink>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79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3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75"/>
        <w:gridCol w:w="60"/>
        <w:gridCol w:w="5508"/>
        <w:gridCol w:w="60"/>
        <w:gridCol w:w="500"/>
        <w:gridCol w:w="60"/>
        <w:gridCol w:w="775"/>
        <w:gridCol w:w="60"/>
        <w:gridCol w:w="760"/>
        <w:gridCol w:w="60"/>
        <w:gridCol w:w="695"/>
        <w:gridCol w:w="60"/>
        <w:gridCol w:w="832"/>
      </w:tblGrid>
      <w:tr>
        <w:trPr/>
        <w:tc>
          <w:tcPr>
            <w:tcW w:w="7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10" w:type="dxa"/>
            <w:gridSpan w:val="7"/>
            <w:tcBorders/>
            <w:vAlign w:val="center"/>
          </w:tcPr>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2" w:type="dxa"/>
            <w:vMerge w:val="restart"/>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0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2" w:type="dxa"/>
            <w:vMerge w:val="continue"/>
            <w:tcBorders/>
            <w:vAlign w:val="center"/>
          </w:tcPr>
          <w:p>
            <w:pPr>
              <w:pStyle w:val="Normal"/>
              <w:bidi w:val="0"/>
              <w:jc w:val="left"/>
              <w:rPr/>
            </w:pPr>
            <w:r>
              <w:rPr/>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Non-Employee Director Compensation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Employment Agreement, dated June 18, 2021, between Dr. Hing C. Wong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Executive Incentive Bonus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Exclusive License Agreement, dated December 24, 2020, between HCW Biologics Inc. and Wugen,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Purchase and Sale Agreement, by and between HCW Biologics Inc. and Wai 3300 Corporate Way, LLC, dated May 27,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08/12/2022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10.23#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Loan Agreement by and between HCW Biologics Inc. and Cogent Bank, dated August 15,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Mortgage and Security Agreement by and between HCW Biologics Inc. and Cogent Bank, dated August 15,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10.25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Form of Subscription Agreement, dated February 20, 2024, by and between the Company and the Subscribers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02/22/2024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Form of Amended and Restated Senior Secured Note Purchase Agreement, dated July 2, 2024, by and between the Company and the Purchase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Form of Amended and Restated Pledge Agreement, dated July 2, 2024, by and among the Company, Escrow Agent and Noteholder parties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Form of Escrow Agreement, dated May 1, 2025, by and between the Company, Escrow Agent and Noteholder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08/14/2024 </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Form of First Amendment to Amended and Restated Secured Note Purchase Agreement, dated September 30, 2024, by and between the Company and Purchaser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11/14/2024</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Form of Secured Promissory Note by and between the Company and the Holder party thereof</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Second Amendment to Amended and Restated Senior Secured Note Purchase Agreement and Related Agreements, dated May 1, 2025, between Company and Holder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Equity Purchase Agreement, dated February 20,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2/21/2025</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10.33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Registration Rights Agreement, dated February 20,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2/21/2025</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First Amendment to the Equity Purchase Agreement, dated August 14,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08/15/2025</w:t>
            </w:r>
          </w:p>
        </w:tc>
        <w:tc>
          <w:tcPr>
            <w:tcW w:w="60"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62"/>
        <w:gridCol w:w="60"/>
        <w:gridCol w:w="5579"/>
        <w:gridCol w:w="60"/>
        <w:gridCol w:w="500"/>
        <w:gridCol w:w="60"/>
        <w:gridCol w:w="761"/>
        <w:gridCol w:w="60"/>
        <w:gridCol w:w="747"/>
        <w:gridCol w:w="60"/>
        <w:gridCol w:w="663"/>
        <w:gridCol w:w="60"/>
        <w:gridCol w:w="833"/>
      </w:tblGrid>
      <w:tr>
        <w:trPr/>
        <w:tc>
          <w:tcPr>
            <w:tcW w:w="76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7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851" w:type="dxa"/>
            <w:gridSpan w:val="7"/>
            <w:tcBorders/>
            <w:vAlign w:val="center"/>
          </w:tcPr>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vMerge w:val="restart"/>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6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7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vMerge w:val="continue"/>
            <w:tcBorders/>
            <w:vAlign w:val="center"/>
          </w:tcPr>
          <w:p>
            <w:pPr>
              <w:pStyle w:val="Normal"/>
              <w:bidi w:val="0"/>
              <w:jc w:val="left"/>
              <w:rPr/>
            </w:pPr>
            <w:r>
              <w:rPr/>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10.35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Amended and Restated Amended and Restated License, Research and Co-Development Agreement, dated November 17, 2025, between the Company and Beijing Trimmune Biotech Co.,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74">
              <w:r>
                <w:rPr>
                  <w:rStyle w:val="InternetLink"/>
                  <w:rFonts w:ascii="Times New Roman;Times;Serif" w:hAnsi="Times New Roman;Times;Serif"/>
                  <w:b w:val="false"/>
                  <w:i w:val="false"/>
                  <w:caps w:val="false"/>
                  <w:smallCaps w:val="false"/>
                  <w:sz w:val="20"/>
                </w:rPr>
                <w:t>Amendment 1 to Amended and Restated License, Research and Co-Development Agreement, dated January 27, 2026, between the Company and Beijing Trimmune Biotech Co.,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rPr>
                <w:t>Shareholder Purchase Agreement, dated October 10, 2025, between co-founders of Beijing Trimmune Biotech Co., Ltd., including the Company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76">
              <w:r>
                <w:rPr>
                  <w:rStyle w:val="InternetLink"/>
                  <w:rFonts w:ascii="Times New Roman;Times;Serif" w:hAnsi="Times New Roman;Times;Serif"/>
                  <w:b w:val="false"/>
                  <w:i w:val="false"/>
                  <w:caps w:val="false"/>
                  <w:smallCaps w:val="false"/>
                  <w:sz w:val="20"/>
                </w:rPr>
                <w:t>Exclusive License Agreement 12-Month Suspension, dated May 29, 2025, between the Company and Wugen,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8/14/2025 </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r:id="rId77">
              <w:r>
                <w:rPr>
                  <w:rStyle w:val="InternetLink"/>
                  <w:rFonts w:ascii="Times New Roman;Times;Serif" w:hAnsi="Times New Roman;Times;Serif"/>
                  <w:b w:val="false"/>
                  <w:i w:val="false"/>
                  <w:caps w:val="false"/>
                  <w:smallCaps w:val="false"/>
                  <w:sz w:val="20"/>
                </w:rPr>
                <w:t>Settlement Agreement and Release, dated July 13, 2024, by and between the Company and Altor BioScience, LLC, NantCell, Inc., and ImmunityBio,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11/14/2024</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Clark Hill PLC (included in Exhibit 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79"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Indicates a management contract or compensatory plan or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Certain information in this document has been excluded pursuant to Item 601(b)(10) of Regulation S-K. Such excluded information is not material and is the type of information the Registrant treats as private and confidential. The Registrant agrees to furnish supplementally such information to the SEC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Certain information in this document has been excluded pursuant to Item 601(a)(5) or (a)(6) of Regulation S-K. The Registrant agrees to furnish supplementally such information to the SEC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Opinion of Clark Hill PLC to be filed by amendment.</w:t>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registration statement on Form S-1 to be signed on its behalf by the undersigned, in the city of Miramar, State of Florida, on August 20, 2026.</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8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&amp;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POWER OF ATTORNEY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Hing C. Wong,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registration statement on Form S-1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95" w:type="dxa"/>
        <w:jc w:val="left"/>
        <w:tblInd w:w="0" w:type="dxa"/>
        <w:tblLayout w:type="fixed"/>
        <w:tblCellMar>
          <w:top w:w="0" w:type="dxa"/>
          <w:left w:w="0" w:type="dxa"/>
          <w:bottom w:w="28" w:type="dxa"/>
          <w:right w:w="0" w:type="dxa"/>
        </w:tblCellMar>
      </w:tblPr>
      <w:tblGrid>
        <w:gridCol w:w="1535"/>
        <w:gridCol w:w="60"/>
        <w:gridCol w:w="2855"/>
        <w:gridCol w:w="60"/>
        <w:gridCol w:w="1385"/>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5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Scott T. Garrett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T. Garrett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tc>
      </w:tr>
      <w:tr>
        <w:trPr/>
        <w:tc>
          <w:tcPr>
            <w:tcW w:w="15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Rebecca Byam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tc>
      </w:tr>
      <w:tr>
        <w:trPr/>
        <w:tc>
          <w:tcPr>
            <w:tcW w:w="15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tc>
      </w:tr>
      <w:tr>
        <w:trPr/>
        <w:tc>
          <w:tcPr>
            <w:tcW w:w="15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Rick S. Greene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S. Greene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tc>
      </w:tr>
      <w:tr>
        <w:trPr/>
        <w:tc>
          <w:tcPr>
            <w:tcW w:w="15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Lisa M. Giles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M. Giles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tc>
      </w:tr>
    </w:tbl>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0" w:name="ex23-1.htm"/>
      <w:bookmarkStart w:id="21" w:name="ksex231"/>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of HCW Biologics Inc. on Form S-1 of our report dated March 31, 2026 on the balance sheet of HCW Biologics Inc. as of December 31, 2025 and the statements of operations, stockholders’ equity and cash flows for the year ended, and to the reference to us under the heading “Experts” in the prospectus.</w:t>
      </w:r>
    </w:p>
    <w:p>
      <w:pPr>
        <w:pStyle w:val="TextBody"/>
        <w:bidi w:val="0"/>
        <w:spacing w:before="0" w:after="0"/>
        <w:ind w:left="0" w:right="0" w:hanging="0"/>
        <w:jc w:val="center"/>
        <w:rPr>
          <w:caps w:val="false"/>
          <w:smallCaps w:val="false"/>
        </w:rPr>
      </w:pPr>
      <w:r>
        <w:rPr>
          <w:caps w:val="false"/>
          <w:smallCaps w:val="false"/>
        </w:rPr>
        <w:t> </w:t>
      </w:r>
    </w:p>
    <w:tbl>
      <w:tblPr>
        <w:tblW w:w="1265" w:type="dxa"/>
        <w:jc w:val="left"/>
        <w:tblInd w:w="0" w:type="dxa"/>
        <w:tblLayout w:type="fixed"/>
        <w:tblCellMar>
          <w:top w:w="0" w:type="dxa"/>
          <w:left w:w="0" w:type="dxa"/>
          <w:bottom w:w="0" w:type="dxa"/>
          <w:right w:w="0" w:type="dxa"/>
        </w:tblCellMar>
      </w:tblPr>
      <w:tblGrid>
        <w:gridCol w:w="75"/>
        <w:gridCol w:w="1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Crowe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Indianapolis, Indiana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 w:name="ex107.htm"/>
      <w:bookmarkStart w:id="23" w:name="ksex107"/>
      <w:bookmarkStart w:id="24" w:name="ex107.htm"/>
      <w:bookmarkStart w:id="25" w:name="ksex107"/>
      <w:bookmarkEnd w:id="24"/>
      <w:bookmarkEnd w:id="25"/>
      <w:r>
        <w:br w:type="page"/>
      </w:r>
    </w:p>
    <w:tbl>
      <w:tblPr>
        <w:tblW w:w="3569" w:type="dxa"/>
        <w:jc w:val="left"/>
        <w:tblInd w:w="0" w:type="dxa"/>
        <w:tblLayout w:type="fixed"/>
        <w:tblCellMar>
          <w:top w:w="28" w:type="dxa"/>
          <w:left w:w="28" w:type="dxa"/>
          <w:bottom w:w="28" w:type="dxa"/>
          <w:right w:w="28" w:type="dxa"/>
        </w:tblCellMar>
      </w:tblPr>
      <w:tblGrid>
        <w:gridCol w:w="3415"/>
        <w:gridCol w:w="154"/>
      </w:tblGrid>
      <w:tr>
        <w:trPr/>
        <w:tc>
          <w:tcPr>
            <w:tcW w:w="356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5"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15" w:type="dxa"/>
            <w:tcBorders/>
            <w:vAlign w:val="center"/>
          </w:tcPr>
          <w:p>
            <w:pPr>
              <w:pStyle w:val="TableContents"/>
              <w:bidi w:val="0"/>
              <w:spacing w:before="0" w:after="283"/>
              <w:jc w:val="left"/>
              <w:rPr>
                <w:b/>
              </w:rPr>
            </w:pPr>
            <w:r>
              <w:rPr>
                <w:b/>
              </w:rPr>
              <w:t xml:space="preserve">HCW Biologics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39" w:type="dxa"/>
        <w:jc w:val="left"/>
        <w:tblInd w:w="0" w:type="dxa"/>
        <w:tblLayout w:type="fixed"/>
        <w:tblCellMar>
          <w:top w:w="28" w:type="dxa"/>
          <w:left w:w="28" w:type="dxa"/>
          <w:bottom w:w="28" w:type="dxa"/>
          <w:right w:w="28" w:type="dxa"/>
        </w:tblCellMar>
      </w:tblPr>
      <w:tblGrid>
        <w:gridCol w:w="1126"/>
        <w:gridCol w:w="226"/>
        <w:gridCol w:w="946"/>
        <w:gridCol w:w="1216"/>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3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618,682 </w:t>
            </w:r>
          </w:p>
        </w:tc>
        <w:tc>
          <w:tcPr>
            <w:tcW w:w="1156" w:type="dxa"/>
            <w:tcBorders/>
            <w:shd w:fill="E7E7E2" w:val="clear"/>
            <w:vAlign w:val="center"/>
          </w:tcPr>
          <w:p>
            <w:pPr>
              <w:pStyle w:val="TableContents"/>
              <w:bidi w:val="0"/>
              <w:spacing w:before="0" w:after="283"/>
              <w:jc w:val="right"/>
              <w:rPr/>
            </w:pPr>
            <w:r>
              <w:rPr/>
              <w:t xml:space="preserve">$ 2.55 </w:t>
            </w:r>
          </w:p>
        </w:tc>
        <w:tc>
          <w:tcPr>
            <w:tcW w:w="1546" w:type="dxa"/>
            <w:tcBorders/>
            <w:shd w:fill="E7E7E2" w:val="clear"/>
            <w:vAlign w:val="center"/>
          </w:tcPr>
          <w:p>
            <w:pPr>
              <w:pStyle w:val="TableContents"/>
              <w:bidi w:val="0"/>
              <w:spacing w:before="0" w:after="283"/>
              <w:jc w:val="right"/>
              <w:rPr/>
            </w:pPr>
            <w:r>
              <w:rPr/>
              <w:t xml:space="preserve">$ 1,577,639.10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$ 217.87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Pre-Funded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Common Stock Underlying Pre-Funded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Common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Common Stock underlying Common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618,682 </w:t>
            </w:r>
          </w:p>
        </w:tc>
        <w:tc>
          <w:tcPr>
            <w:tcW w:w="1156" w:type="dxa"/>
            <w:tcBorders/>
            <w:shd w:fill="E7E7E2" w:val="clear"/>
            <w:vAlign w:val="center"/>
          </w:tcPr>
          <w:p>
            <w:pPr>
              <w:pStyle w:val="TableContents"/>
              <w:bidi w:val="0"/>
              <w:spacing w:before="0" w:after="283"/>
              <w:jc w:val="right"/>
              <w:rPr/>
            </w:pPr>
            <w:r>
              <w:rPr/>
              <w:t xml:space="preserve">$ 2.585 </w:t>
            </w:r>
          </w:p>
        </w:tc>
        <w:tc>
          <w:tcPr>
            <w:tcW w:w="1546" w:type="dxa"/>
            <w:tcBorders/>
            <w:shd w:fill="E7E7E2" w:val="clear"/>
            <w:vAlign w:val="center"/>
          </w:tcPr>
          <w:p>
            <w:pPr>
              <w:pStyle w:val="TableContents"/>
              <w:bidi w:val="0"/>
              <w:spacing w:before="0" w:after="283"/>
              <w:jc w:val="right"/>
              <w:rPr/>
            </w:pPr>
            <w:r>
              <w:rPr/>
              <w:t xml:space="preserve">$ 1,599,292.97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$ 220.86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3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6" w:name="MaxAggtOfferingPrice"/>
            <w:bookmarkEnd w:id="26"/>
            <w:r>
              <w:rPr/>
              <w:t xml:space="preserve">$ 3,176,932.07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7" w:name="TotalFeeAmt"/>
            <w:bookmarkEnd w:id="27"/>
            <w:r>
              <w:rPr/>
              <w:t xml:space="preserve">$ 438.73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PreviouslyPaid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Offset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NetFeeAmt"/>
            <w:bookmarkEnd w:id="30"/>
            <w:r>
              <w:rPr/>
              <w:t xml:space="preserve">$ 438.73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Pursuant to Rule 416 under the Securities Act of 1933, as amended (the "Securities Act"), the shares of Common Stock being registered hereby include an indeterminate number of shares of Common Stock that may be issuable as a result of stock splits, stock dividends or similar transactions. The shares of Common Stock being registered for resale consist of (i) 218,682 shares of Common Stock issued in the July 2026 private placement and (ii) 400,000 shares of Common Stock issuable upon exercise of pre-funded warrants issued in the July 2026 private placement. Estimated solely for purposes of calculating the registration fee pursuant to Rule 457(c) under the Securities Act based on the average of the high and low sale prices of the registrant's Common Stock on The Nasdaq Capital Market on August 18, 2026. The registrant will not receive any proceeds from the sale of the shares of Common Stock by the selling stockholders.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Represents 400,000 Pre-Funded Warrants issued in the July 2026 Private Placement. Pursuant to Rule 457(g) under the Securities Act, because the shares of Common Stock issuable upon exercise of the Pre-Funded Warrants are being registered hereby, no separate registration fee is payable with respect to the pre-funded warrants.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4" w:type="dxa"/>
            <w:gridSpan w:val="2"/>
            <w:tcBorders/>
            <w:vAlign w:val="center"/>
          </w:tcPr>
          <w:p>
            <w:pPr>
              <w:pStyle w:val="TableContents"/>
              <w:bidi w:val="0"/>
              <w:spacing w:before="0" w:after="283"/>
              <w:jc w:val="left"/>
              <w:rPr/>
            </w:pPr>
            <w:r>
              <w:rPr/>
              <w:t xml:space="preserve">Pursuant to Rule 416 under the Securities Act, the shares of Common Stock being registered hereby include an indeterminate number of shares of Common Stock that may be issuable as a result of stock splits, stock dividends or similar transactions. Represents 400,000 shares of Common Stock issuable upon exercise of pre-funded warrants issued in the July 2026 Private Placement. No additional registration fee is due with respect to such shares because the registration fee attributable thereto is reflected in the fee paid for the Common Stock registered pursuant to footnote (1).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4" w:type="dxa"/>
            <w:gridSpan w:val="2"/>
            <w:tcBorders/>
            <w:vAlign w:val="center"/>
          </w:tcPr>
          <w:p>
            <w:pPr>
              <w:pStyle w:val="TableContents"/>
              <w:bidi w:val="0"/>
              <w:spacing w:before="0" w:after="283"/>
              <w:jc w:val="left"/>
              <w:rPr/>
            </w:pPr>
            <w:r>
              <w:rPr/>
              <w:t xml:space="preserve">Represents up to 618,682 common stock purchase warrants issuable pursuant to the Securities Purchase Agreement entered into in connection with the July 2026 Private Placement, subject to stockholder approval under Nasdaq Listing Rule 5635(d). Pursuant to Rule 457(g) under the Securities Act, because the shares of Common Stock issuable upon exercise of the Common Warrants are being registered hereby, no separate registration fee is payable with respect to the Common Warrants.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4" w:type="dxa"/>
            <w:gridSpan w:val="2"/>
            <w:tcBorders/>
            <w:vAlign w:val="center"/>
          </w:tcPr>
          <w:p>
            <w:pPr>
              <w:pStyle w:val="TableContents"/>
              <w:bidi w:val="0"/>
              <w:spacing w:before="0" w:after="283"/>
              <w:jc w:val="left"/>
              <w:rPr/>
            </w:pPr>
            <w:r>
              <w:rPr/>
              <w:t xml:space="preserve">Pursuant to Rule 416 under the Securities Act, the shares of Common Stock being registered hereby include an indeterminate number of shares of Common Stock that may be issuable as a result of stock splits, stock dividends or similar transactions. Represents 618,682 shares of Common Stock issuable upon exercise of common stock purchase warrants issuable in the July 2026 Private Placement, subject to stockholder approval under Nasdaq Listing Rule 5635(d). Estimated solely for purposes of calculating the registration fee pursuant to Rule 457(g) under the Securities Act based upon the exercise price of $2.585 per share of the Common Warrants.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8673/000119312526134934/hcwb-20251231.htm" TargetMode="External"/><Relationship Id="rId4" Type="http://schemas.openxmlformats.org/officeDocument/2006/relationships/hyperlink" Target="https://www.sec.gov/ix?doc=/Archives/edgar/data/1828673/000149315226038246/form10-qa.htm" TargetMode="External"/><Relationship Id="rId5" Type="http://schemas.openxmlformats.org/officeDocument/2006/relationships/hyperlink" Target="https://www.sec.gov/Archives/edgar/data/1828673/000149315226038262/form10-q.htm" TargetMode="External"/><Relationship Id="rId6" Type="http://schemas.openxmlformats.org/officeDocument/2006/relationships/hyperlink" Target="https://www.sec.gov/Archives/edgar/data/1828673/000119312526049953/hcwb-20260212.htm" TargetMode="External"/><Relationship Id="rId7" Type="http://schemas.openxmlformats.org/officeDocument/2006/relationships/hyperlink" Target="https://www.sec.gov/Archives/edgar/data/1828673/000119312526059578/hcwb-20260217.htm" TargetMode="External"/><Relationship Id="rId8" Type="http://schemas.openxmlformats.org/officeDocument/2006/relationships/hyperlink" Target="https://www.sec.gov/Archives/edgar/data/1828673/000119312526084291/hcwb-20260226.htm" TargetMode="External"/><Relationship Id="rId9" Type="http://schemas.openxmlformats.org/officeDocument/2006/relationships/hyperlink" Target="https://www.sec.gov/Archives/edgar/data/1828673/000119312526109407/hcwb-20260316.htm" TargetMode="External"/><Relationship Id="rId10" Type="http://schemas.openxmlformats.org/officeDocument/2006/relationships/hyperlink" Target="https://www.sec.gov/Archives/edgar/data/1828673/000119312526134936/hcwb-20260331.htm" TargetMode="External"/><Relationship Id="rId11" Type="http://schemas.openxmlformats.org/officeDocument/2006/relationships/hyperlink" Target="https://www.sec.gov/Archives/edgar/data/1828673/000149315226017099/form8-k.htm" TargetMode="External"/><Relationship Id="rId12" Type="http://schemas.openxmlformats.org/officeDocument/2006/relationships/hyperlink" Target="https://www.sec.gov/Archives/edgar/data/1828673/000149315226019699/form8-k.htm" TargetMode="External"/><Relationship Id="rId13" Type="http://schemas.openxmlformats.org/officeDocument/2006/relationships/hyperlink" Target="https://www.sec.gov/Archives/edgar/data/1828673/000149315226020587/form8-k.htm" TargetMode="External"/><Relationship Id="rId14" Type="http://schemas.openxmlformats.org/officeDocument/2006/relationships/hyperlink" Target="https://www.sec.gov/Archives/edgar/data/1828673/000149315226023122/form8-k.htm" TargetMode="External"/><Relationship Id="rId15" Type="http://schemas.openxmlformats.org/officeDocument/2006/relationships/hyperlink" Target="https://www.sec.gov/Archives/edgar/data/1828673/000149315226024850/form8-k.htm" TargetMode="External"/><Relationship Id="rId16" Type="http://schemas.openxmlformats.org/officeDocument/2006/relationships/hyperlink" Target="https://www.sec.gov/Archives/edgar/data/1828673/000149315226025336/form8-k.htm" TargetMode="External"/><Relationship Id="rId17" Type="http://schemas.openxmlformats.org/officeDocument/2006/relationships/hyperlink" Target="https://www.sec.gov/Archives/edgar/data/1828673/000149315226026529/form8-k.htm" TargetMode="External"/><Relationship Id="rId18" Type="http://schemas.openxmlformats.org/officeDocument/2006/relationships/hyperlink" Target="https://www.sec.gov/Archives/edgar/data/1828673/000149315226028699/form8-k.htm" TargetMode="External"/><Relationship Id="rId19" Type="http://schemas.openxmlformats.org/officeDocument/2006/relationships/hyperlink" Target="https://www.sec.gov/Archives/edgar/data/1828673/000149315226028807/form8-k.htm" TargetMode="External"/><Relationship Id="rId20" Type="http://schemas.openxmlformats.org/officeDocument/2006/relationships/hyperlink" Target="https://www.sec.gov/Archives/edgar/data/1828673/000149315226030236/form8-k.htm" TargetMode="External"/><Relationship Id="rId21" Type="http://schemas.openxmlformats.org/officeDocument/2006/relationships/hyperlink" Target="https://www.sec.gov/Archives/edgar/data/1828673/000149315226031204/form8-k.htm" TargetMode="External"/><Relationship Id="rId22" Type="http://schemas.openxmlformats.org/officeDocument/2006/relationships/hyperlink" Target="https://www.sec.gov/Archives/edgar/data/1828673/000149315226031441/form8-k.htm" TargetMode="External"/><Relationship Id="rId23" Type="http://schemas.openxmlformats.org/officeDocument/2006/relationships/hyperlink" Target="https://www.sec.gov/Archives/edgar/data/1828673/000149315226035233/form8-k.htm" TargetMode="External"/><Relationship Id="rId24" Type="http://schemas.openxmlformats.org/officeDocument/2006/relationships/hyperlink" Target="https://www.sec.gov/Archives/edgar/data/1828673/000149315226038258/form8-k.htm" TargetMode="External"/><Relationship Id="rId25" Type="http://schemas.openxmlformats.org/officeDocument/2006/relationships/hyperlink" Target="https://www.sec.gov/Archives/edgar/data/1828673/000119312521212008/d206671d8a12b.htm" TargetMode="External"/><Relationship Id="rId26" Type="http://schemas.openxmlformats.org/officeDocument/2006/relationships/hyperlink" Target="https://www.sec.gov/Archives/edgar/data/1828673/000119312521224302/d179831dex31.htm" TargetMode="External"/><Relationship Id="rId27" Type="http://schemas.openxmlformats.org/officeDocument/2006/relationships/hyperlink" Target="https://www.sec.gov/Archives/edgar/data/1828673/000095017025048619/hcwb-ex3_1a.htm" TargetMode="External"/><Relationship Id="rId28" Type="http://schemas.openxmlformats.org/officeDocument/2006/relationships/hyperlink" Target="https://www.sec.gov/Archives/edgar/data/1828673/000095017025048619/hcwb-ex3_1b.htm" TargetMode="External"/><Relationship Id="rId29" Type="http://schemas.openxmlformats.org/officeDocument/2006/relationships/hyperlink" Target="https://www.sec.gov/Archives/edgar/data/1828673/000149315226030236/ex3-1.htm" TargetMode="External"/><Relationship Id="rId30" Type="http://schemas.openxmlformats.org/officeDocument/2006/relationships/hyperlink" Target="https://www.sec.gov/Archives/edgar/data/1828673/000119312521224302/d179831dex32.htm" TargetMode="External"/><Relationship Id="rId31" Type="http://schemas.openxmlformats.org/officeDocument/2006/relationships/hyperlink" Target="https://www.sec.gov/Archives/edgar/data/1828673/000119312521191316/d39345dex41.htm" TargetMode="External"/><Relationship Id="rId32" Type="http://schemas.openxmlformats.org/officeDocument/2006/relationships/hyperlink" Target="https://www.sec.gov/Archives/edgar/data/1828673/000095017022004847/hcwb-ex4_2.htm" TargetMode="External"/><Relationship Id="rId33" Type="http://schemas.openxmlformats.org/officeDocument/2006/relationships/hyperlink" Target="https://www.sec.gov/Archives/edgar/data/1828673/000119312525289873/hcwb-ex4_1.htm" TargetMode="External"/><Relationship Id="rId34" Type="http://schemas.openxmlformats.org/officeDocument/2006/relationships/hyperlink" Target="https://www.sec.gov/Archives/edgar/data/1828673/000119312526059578/hcwb-ex4_1.htm" TargetMode="External"/><Relationship Id="rId35" Type="http://schemas.openxmlformats.org/officeDocument/2006/relationships/hyperlink" Target="https://www.sec.gov/Archives/edgar/data/1828673/000095017025109642/hcwb-ex10_13.htm" TargetMode="External"/><Relationship Id="rId36" Type="http://schemas.openxmlformats.org/officeDocument/2006/relationships/hyperlink" Target="https://www.sec.gov/Archives/edgar/data/1828673/000149315226024850/ex4-2.htm" TargetMode="External"/><Relationship Id="rId37" Type="http://schemas.openxmlformats.org/officeDocument/2006/relationships/hyperlink" Target="https://www.sec.gov/Archives/edgar/data/1828673/000149315226035233/ex4-1.htm" TargetMode="External"/><Relationship Id="rId38" Type="http://schemas.openxmlformats.org/officeDocument/2006/relationships/hyperlink" Target="https://www.sec.gov/Archives/edgar/data/1828673/000149315226035233/ex4-2.htm" TargetMode="External"/><Relationship Id="rId39" Type="http://schemas.openxmlformats.org/officeDocument/2006/relationships/hyperlink" Target="https://www.sec.gov/Archives/edgar/data/1828673/000119312526059578/hcwb-ex10_2.htm" TargetMode="External"/><Relationship Id="rId40" Type="http://schemas.openxmlformats.org/officeDocument/2006/relationships/hyperlink" Target="https://www.sec.gov/Archives/edgar/data/1828673/000119312526059578/hcwb-ex10_3.htm" TargetMode="External"/><Relationship Id="rId41" Type="http://schemas.openxmlformats.org/officeDocument/2006/relationships/hyperlink" Target="https://www.sec.gov/Archives/edgar/data/1828673/000119312526046873/d55258dex1042.htm" TargetMode="External"/><Relationship Id="rId42" Type="http://schemas.openxmlformats.org/officeDocument/2006/relationships/hyperlink" Target="https://www.sec.gov/Archives/edgar/data/1828673/000119312526059578/hcwb-ex10_1.htm" TargetMode="External"/><Relationship Id="rId43" Type="http://schemas.openxmlformats.org/officeDocument/2006/relationships/hyperlink" Target="https://www.sec.gov/Archives/edgar/data/1828673/000149315226024850/ex10-1.htm" TargetMode="External"/><Relationship Id="rId44" Type="http://schemas.openxmlformats.org/officeDocument/2006/relationships/hyperlink" Target="https://www.sec.gov/Archives/edgar/data/1828673/000149315226024850/ex10-2.htm" TargetMode="External"/><Relationship Id="rId45" Type="http://schemas.openxmlformats.org/officeDocument/2006/relationships/hyperlink" Target="https://www.sec.gov/Archives/edgar/data/1828673/000149315226038262/ex10-7.htm" TargetMode="External"/><Relationship Id="rId46" Type="http://schemas.openxmlformats.org/officeDocument/2006/relationships/hyperlink" Target="https://www.sec.gov/Archives/edgar/data/1828673/000149315226024850/ex10-3.htm" TargetMode="External"/><Relationship Id="rId47" Type="http://schemas.openxmlformats.org/officeDocument/2006/relationships/hyperlink" Target="https://www.sec.gov/Archives/edgar/data/1828673/000149315226035233/ex10-1.htm" TargetMode="External"/><Relationship Id="rId48" Type="http://schemas.openxmlformats.org/officeDocument/2006/relationships/hyperlink" Target="https://www.sec.gov/Archives/edgar/data/1828673/000149315226035233/ex10-2.htm" TargetMode="External"/><Relationship Id="rId49" Type="http://schemas.openxmlformats.org/officeDocument/2006/relationships/hyperlink" Target="https://www.sec.gov/Archives/edgar/data/1828673/000149315226038262/ex10-11.htm" TargetMode="External"/><Relationship Id="rId50" Type="http://schemas.openxmlformats.org/officeDocument/2006/relationships/hyperlink" Target="https://www.sec.gov/Archives/edgar/data/1828673/000119312521191316/d39345dex101.htm" TargetMode="External"/><Relationship Id="rId51" Type="http://schemas.openxmlformats.org/officeDocument/2006/relationships/hyperlink" Target="https://www.sec.gov/Archives/edgar/data/1828673/000119312521173753/d39345dex102.htm" TargetMode="External"/><Relationship Id="rId52" Type="http://schemas.openxmlformats.org/officeDocument/2006/relationships/hyperlink" Target="https://www.sec.gov/Archives/edgar/data/1828673/000119312521173753/d39345dex103.htm" TargetMode="External"/><Relationship Id="rId53" Type="http://schemas.openxmlformats.org/officeDocument/2006/relationships/hyperlink" Target="https://www.sec.gov/Archives/edgar/data/1828673/000119312521209000/d39345dex104.htm" TargetMode="External"/><Relationship Id="rId54" Type="http://schemas.openxmlformats.org/officeDocument/2006/relationships/hyperlink" Target="https://www.sec.gov/Archives/edgar/data/1828673/000119312521209000/d39345dex106.htm" TargetMode="External"/><Relationship Id="rId55" Type="http://schemas.openxmlformats.org/officeDocument/2006/relationships/hyperlink" Target="https://www.sec.gov/Archives/edgar/data/1828673/000119312521173753/d39345dex107.htm" TargetMode="External"/><Relationship Id="rId56" Type="http://schemas.openxmlformats.org/officeDocument/2006/relationships/hyperlink" Target="https://www.sec.gov/Archives/edgar/data/1828673/000119312521191316/d39345dex108.htm" TargetMode="External"/><Relationship Id="rId57" Type="http://schemas.openxmlformats.org/officeDocument/2006/relationships/hyperlink" Target="https://www.sec.gov/Archives/edgar/data/1828673/000119312521209000/d39345dex1013.htm" TargetMode="External"/><Relationship Id="rId58" Type="http://schemas.openxmlformats.org/officeDocument/2006/relationships/hyperlink" Target="https://www.sec.gov/Archives/edgar/data/1828673/000119312521191316/d39345dex1011.htm" TargetMode="External"/><Relationship Id="rId59" Type="http://schemas.openxmlformats.org/officeDocument/2006/relationships/hyperlink" Target="https://www.sec.gov/Archives/edgar/data/1828673/000119312521173753/d39345dex1010.htm" TargetMode="External"/><Relationship Id="rId60" Type="http://schemas.openxmlformats.org/officeDocument/2006/relationships/hyperlink" Target="https://www.sec.gov/Archives/edgar/data/1828673/000095017022017015/hcwb-ex10_1.htm" TargetMode="External"/><Relationship Id="rId61" Type="http://schemas.openxmlformats.org/officeDocument/2006/relationships/hyperlink" Target="https://www.sec.gov/Archives/edgar/data/1828673/000095017022022697/hcwb-ex10_1.htm" TargetMode="External"/><Relationship Id="rId62" Type="http://schemas.openxmlformats.org/officeDocument/2006/relationships/hyperlink" Target="https://www.sec.gov/Archives/edgar/data/1828673/000095017022022697/hcwb-ex10_2.htm" TargetMode="External"/><Relationship Id="rId63" Type="http://schemas.openxmlformats.org/officeDocument/2006/relationships/hyperlink" Target="https://www.sec.gov/Archives/edgar/data/1828673/000095017024018451/hcwb-ex10_1.htm" TargetMode="External"/><Relationship Id="rId64" Type="http://schemas.openxmlformats.org/officeDocument/2006/relationships/hyperlink" Target="https://www.sec.gov/Archives/edgar/data/1828673/000095017024097121/hcwb-ex10_1.htm" TargetMode="External"/><Relationship Id="rId65" Type="http://schemas.openxmlformats.org/officeDocument/2006/relationships/hyperlink" Target="https://www.sec.gov/Archives/edgar/data/1828673/000095017024097121/hcwb-ex10_3.htm" TargetMode="External"/><Relationship Id="rId66" Type="http://schemas.openxmlformats.org/officeDocument/2006/relationships/hyperlink" Target="https://www.sec.gov/Archives/edgar/data/1828673/000095017024097121/hcwb-ex10_4.htm" TargetMode="External"/><Relationship Id="rId67" Type="http://schemas.openxmlformats.org/officeDocument/2006/relationships/hyperlink" Target="https://www.sec.gov/Archives/edgar/data/1828673/000095017024127198/hcwb-ex10_5.htm" TargetMode="External"/><Relationship Id="rId68" Type="http://schemas.openxmlformats.org/officeDocument/2006/relationships/hyperlink" Target="https://www.sec.gov/Archives/edgar/data/1828673/000095017024097121/hcwb-ex10_2.htm" TargetMode="External"/><Relationship Id="rId69" Type="http://schemas.openxmlformats.org/officeDocument/2006/relationships/hyperlink" Target="https://www.sec.gov/Archives/edgar/data/1828673/000095017025109642/hcwb-ex10_12.htm" TargetMode="External"/><Relationship Id="rId70" Type="http://schemas.openxmlformats.org/officeDocument/2006/relationships/hyperlink" Target="https://www.sec.gov/Archives/edgar/data/1828673/000095017025024989/hcwb-ex10_1.htm" TargetMode="External"/><Relationship Id="rId71" Type="http://schemas.openxmlformats.org/officeDocument/2006/relationships/hyperlink" Target="https://www.sec.gov/Archives/edgar/data/1828673/000095017025024989/hcwb-ex10_2.htm" TargetMode="External"/><Relationship Id="rId72" Type="http://schemas.openxmlformats.org/officeDocument/2006/relationships/hyperlink" Target="https://www.sec.gov/Archives/edgar/data/1828673/000095017025109139/hcwb-ex10_1.htm" TargetMode="External"/><Relationship Id="rId73" Type="http://schemas.openxmlformats.org/officeDocument/2006/relationships/hyperlink" Target="https://www.sec.gov/Archives/edgar/data/1828673/000119312526046873/d55258dex1040.htm" TargetMode="External"/><Relationship Id="rId74" Type="http://schemas.openxmlformats.org/officeDocument/2006/relationships/hyperlink" Target="https://www.sec.gov/Archives/edgar/data/1828673/000119312526046873/d55258dex1043.htm" TargetMode="External"/><Relationship Id="rId75" Type="http://schemas.openxmlformats.org/officeDocument/2006/relationships/hyperlink" Target="https://www.sec.gov/Archives/edgar/data/1828673/000119312526046873/d55258dex1044.htm" TargetMode="External"/><Relationship Id="rId76" Type="http://schemas.openxmlformats.org/officeDocument/2006/relationships/hyperlink" Target="https://www.sec.gov/Archives/edgar/data/1828673/000095017025109642/hcwb-ex10_17.htm" TargetMode="External"/><Relationship Id="rId77" Type="http://schemas.openxmlformats.org/officeDocument/2006/relationships/hyperlink" Target="https://www.sec.gov/Archives/edgar/data/1828673/000095017024127198/hcwb-ex10_6.htm" TargetMode="External"/><Relationship Id="rId78" Type="http://schemas.openxmlformats.org/officeDocument/2006/relationships/fontTable" Target="fontTable.xml"/><Relationship Id="rId7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29511</Words>
  <Characters>156782</Characters>
  <CharactersWithSpaces>186993</CharactersWithSpaces>
  <Paragraphs>3036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