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B_edei--DocumentType_c20260923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September 23,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2_edei--EntityRegistrantName_c2026"/>
      <w:bookmarkEnd w:id="4"/>
      <w:r>
        <w:rPr>
          <w:rFonts w:ascii="Times New Roman;Times;Serif" w:hAnsi="Times New Roman;Times;Serif"/>
          <w:b/>
          <w:i w:val="false"/>
          <w:caps w:val="false"/>
          <w:smallCaps w:val="false"/>
          <w:sz w:val="36"/>
        </w:rPr>
        <w:t>HCW Biologics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5190" w:type="dxa"/>
        <w:jc w:val="left"/>
        <w:tblInd w:w="0" w:type="dxa"/>
        <w:tblLayout w:type="fixed"/>
        <w:tblCellMar>
          <w:top w:w="0" w:type="dxa"/>
          <w:left w:w="0" w:type="dxa"/>
          <w:bottom w:w="28" w:type="dxa"/>
          <w:right w:w="0" w:type="dxa"/>
        </w:tblCellMar>
      </w:tblPr>
      <w:tblGrid>
        <w:gridCol w:w="2360"/>
        <w:gridCol w:w="60"/>
        <w:gridCol w:w="1145"/>
        <w:gridCol w:w="60"/>
        <w:gridCol w:w="1565"/>
      </w:tblGrid>
      <w:tr>
        <w:trPr/>
        <w:tc>
          <w:tcPr>
            <w:tcW w:w="23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E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E_edei--EntityFileNumber_c20260923"/>
            <w:bookmarkEnd w:id="6"/>
            <w:r>
              <w:rPr>
                <w:rFonts w:ascii="Times New Roman;Times;Serif" w:hAnsi="Times New Roman;Times;Serif"/>
                <w:b/>
                <w:i w:val="false"/>
                <w:caps w:val="false"/>
                <w:smallCaps w:val="false"/>
                <w:sz w:val="20"/>
              </w:rPr>
              <w:t>001-40591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E_edei--EntityTaxIdentificationNum"/>
            <w:bookmarkEnd w:id="7"/>
            <w:r>
              <w:rPr>
                <w:rFonts w:ascii="Times New Roman;Times;Serif" w:hAnsi="Times New Roman;Times;Serif"/>
                <w:b/>
                <w:i w:val="false"/>
                <w:caps w:val="false"/>
                <w:smallCaps w:val="false"/>
                <w:sz w:val="20"/>
              </w:rPr>
              <w:t>82-5024477</w:t>
            </w:r>
          </w:p>
        </w:tc>
      </w:tr>
      <w:tr>
        <w:trPr/>
        <w:tc>
          <w:tcPr>
            <w:tcW w:w="236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3395"/>
        <w:gridCol w:w="60"/>
        <w:gridCol w:w="935"/>
      </w:tblGrid>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2929 N. Commerce Parkway</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3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A_edei--EntityAddressCityOrTown_c2"/>
            <w:bookmarkEnd w:id="9"/>
            <w:r>
              <w:rPr>
                <w:rFonts w:ascii="Times New Roman;Times;Serif" w:hAnsi="Times New Roman;Times;Serif"/>
                <w:b/>
                <w:i w:val="false"/>
                <w:caps w:val="false"/>
                <w:smallCaps w:val="false"/>
                <w:sz w:val="20"/>
              </w:rPr>
              <w:t xml:space="preserve">Miramar, </w:t>
            </w:r>
            <w:bookmarkStart w:id="10" w:name="xdx_902_edei--EntityAddressStateOrProvin"/>
            <w:bookmarkEnd w:id="10"/>
            <w:r>
              <w:rPr>
                <w:rFonts w:ascii="Times New Roman;Times;Serif" w:hAnsi="Times New Roman;Times;Serif"/>
                <w:b/>
                <w:i w:val="false"/>
                <w:caps w:val="false"/>
                <w:smallCaps w:val="false"/>
                <w:sz w:val="20"/>
              </w:rPr>
              <w:t>Florida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2_edei--EntityAddressPostalZipCode"/>
            <w:bookmarkEnd w:id="11"/>
            <w:r>
              <w:rPr>
                <w:rFonts w:ascii="Times New Roman;Times;Serif" w:hAnsi="Times New Roman;Times;Serif"/>
                <w:b/>
                <w:i w:val="false"/>
                <w:caps w:val="false"/>
                <w:smallCaps w:val="false"/>
                <w:sz w:val="20"/>
              </w:rPr>
              <w:t>33025</w:t>
            </w:r>
          </w:p>
        </w:tc>
      </w:tr>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2" w:name="xdx_90D_edei--CityAreaCode_c20260923__20"/>
      <w:bookmarkEnd w:id="12"/>
      <w:r>
        <w:rPr>
          <w:rFonts w:ascii="Times New Roman;Times;Serif" w:hAnsi="Times New Roman;Times;Serif"/>
          <w:b/>
          <w:i w:val="false"/>
          <w:caps w:val="false"/>
          <w:smallCaps w:val="false"/>
          <w:sz w:val="20"/>
        </w:rPr>
        <w:t xml:space="preserve">(954) </w:t>
      </w:r>
      <w:bookmarkStart w:id="13" w:name="xdx_90A_edei--LocalPhoneNumber_c20260923"/>
      <w:bookmarkEnd w:id="13"/>
      <w:r>
        <w:rPr>
          <w:rFonts w:ascii="Times New Roman;Times;Serif" w:hAnsi="Times New Roman;Times;Serif"/>
          <w:b/>
          <w:i w:val="false"/>
          <w:caps w:val="false"/>
          <w:smallCaps w:val="false"/>
          <w:sz w:val="20"/>
        </w:rPr>
        <w:t>842-2024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A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4_edei--SolicitingMaterial_c202609"/>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4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0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060" w:type="dxa"/>
        <w:jc w:val="left"/>
        <w:tblInd w:w="0" w:type="dxa"/>
        <w:tblLayout w:type="fixed"/>
        <w:tblCellMar>
          <w:top w:w="0" w:type="dxa"/>
          <w:left w:w="0" w:type="dxa"/>
          <w:bottom w:w="28" w:type="dxa"/>
          <w:right w:w="0" w:type="dxa"/>
        </w:tblCellMar>
      </w:tblPr>
      <w:tblGrid>
        <w:gridCol w:w="3620"/>
        <w:gridCol w:w="60"/>
        <w:gridCol w:w="1610"/>
        <w:gridCol w:w="60"/>
        <w:gridCol w:w="3710"/>
      </w:tblGrid>
      <w:tr>
        <w:trPr/>
        <w:tc>
          <w:tcPr>
            <w:tcW w:w="36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A_edei--Security12bTitle_c20260923"/>
            <w:bookmarkEnd w:id="18"/>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B_edei--TradingSymbol_c20260923__2"/>
            <w:bookmarkEnd w:id="19"/>
            <w:r>
              <w:rPr>
                <w:rFonts w:ascii="Times New Roman;Times;Serif" w:hAnsi="Times New Roman;Times;Serif"/>
                <w:b w:val="false"/>
                <w:i w:val="false"/>
                <w:caps w:val="false"/>
                <w:smallCaps w:val="false"/>
                <w:sz w:val="20"/>
              </w:rPr>
              <w:t>HCWB</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B_edei--SecurityExchangeName_c2026"/>
            <w:bookmarkEnd w:id="20"/>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5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7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2026, HCW Biologics Inc. (the “Company”) entered into a Securities Purchase Agreement (the “Purchase Agreement”) with an existing institutional investor (the “Investor”), pursuant to which the Company agreed to issue and sell an aggregate of 903,614 units (the “Units”), with each Unit consisting of (i) one pre-funded warrant (the “Pre-Funded Warrants”) to purchase one share of the Company’s common stock, par value $0.0001 per share, (the “Common Stock”) and (ii) the right to receive one common stock purchase warrant (the “Common Warrants”) to purchase one share of Common Stock upon, and subject to, stockholder approval of the issuance of the Common Warrants. The Units were sold at a purchase price of $1.6599 per Unit. The Pre-Funded Warrants and Common Warrants comprising the Units are immediately separable and will be issued separately, the Common Warrants to be issued only upon, and subject to, stockholder approval thereof, which the Company is obligated to seek pursuant to the terms of the Purchase Agreement. Maxim Group LLC is acting as the sole placement agent for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the Company agreed to issue and sell Units that include an aggregate of 903,614 Pre-Funded Warrants for aggregate gross proceeds of approximately $1.5 million before deducting offering expenses payable by the Company. The Company intends to use the net proceeds from the offering for working capital and general corporate purposes, including continuing clinical development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have an exercise price of $0.0001 per share, are exercisable immediately and will remain exercisable until exercised in full. The Pre-Funded Warrants may not be exercised to the extent that, after giving effect to such exercise, the holder would beneficially own more than 9.99% of the number of shares of Common Stock outstanding immediately after giving effect to such exercise.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is entitled to receive Common Warrants exercisable for an aggregate of up to 903,614 shares of Common Stock. Under the terms of the Purchase Agreement, issuance of the Common Warrants is subject to stockholder approval required under Nasdaq Listing Rule 5635(d). Following receipt of such stockholder approval, the Company will issue the Common Warrants to the Investor. The Common Warrants will have an exercise price of $1.66 per share, be exercisable immediately upon issuance and expire on the date that is five and one-half (5.5) years from the date of issuance. The Common Warrants will contain a beneficial ownership limitation of 4.99%, subject to adjustment by the holder in accordance with their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Purchase Agreement, the Company also entered into a Registration Rights Agreement with the Investors (the “Registration Rights Agreement”), pursuant to which the Company agreed to provide certain registration rights with respect to the resale of the shares of Common Stock issued in the offering, the shares issuable upon exercise of the Pre-Funded Warrants and the shares issuable upon exercise of the Common Warrants. The Company agreed to file an initial registration statement within 15 trading days following the closing of the offering and to use commercially reasonable efforts to cause such registration statement to be declared effective by the Securities and Exchange Commission within 60 days following the closing.</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Purchase Agreement, the Registration Rights Agreement, the Pre-Funded Warrants and Common Warrants do not purport to be complete and are qualified in their entirety by reference to the full text of the forms of such agreements, which are filed as Exhibits 10.1, 10.2, 4.1 and 4.2 to this Current Report on Form 8-K and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and sale of the Shares and the Pre-Funded Warrants at the closing were made, and the issuance of the Warrant Shares upon exercise of the Pre-Funded Warrants and the Common Warrants will be made, in reliance upon the exemption from registration provided by Section 4(a)(2) of the Securities Act of 1933, as amended (the “Securities Act”), and Rule 506(b) of Regulation D promulgated thereunder, as transactions by an issuer not involving a public offering. The Investors represented that they are “accredited investors” as defined in Rule 501(a)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Item 1.01 is incorporated by reference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2026, the Company issued a press release announcing the pricing of this Offering described above. A copy of that press release is furnished as Exhibit 99.1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including Exhibit 99.1, is being furnished and shall not be deemed “filed” for purposes of Section 18 of the Securities Exchange Act of 1934, as amended,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does not constitute an offer to sell any securities or a solicitation of an offer to buy any securities, nor shall there be any sale of any securities in any state or jurisdiction in which such an offer, solicitation or sale would be unlawful prior to registration or qualification under the securities laws of any such state or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8095" w:type="dxa"/>
        <w:jc w:val="left"/>
        <w:tblInd w:w="0" w:type="dxa"/>
        <w:tblLayout w:type="fixed"/>
        <w:tblCellMar>
          <w:top w:w="0" w:type="dxa"/>
          <w:left w:w="0" w:type="dxa"/>
          <w:bottom w:w="28" w:type="dxa"/>
          <w:right w:w="0" w:type="dxa"/>
        </w:tblCellMar>
      </w:tblPr>
      <w:tblGrid>
        <w:gridCol w:w="995"/>
        <w:gridCol w:w="60"/>
        <w:gridCol w:w="7040"/>
      </w:tblGrid>
      <w:tr>
        <w:trPr/>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4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40" w:type="dxa"/>
            <w:tcBorders/>
            <w:tcMar>
              <w:bottom w:w="0" w:type="dxa"/>
            </w:tcMar>
            <w:vAlign w:val="center"/>
          </w:tcPr>
          <w:p>
            <w:pPr>
              <w:pStyle w:val="TableContents"/>
              <w:bidi w:val="0"/>
              <w:spacing w:before="0" w:after="283"/>
              <w:jc w:val="both"/>
              <w:rPr/>
            </w:pPr>
            <w:hyperlink w:anchor="ex4-1.htm">
              <w:r>
                <w:rPr>
                  <w:rStyle w:val="InternetLink"/>
                  <w:rFonts w:ascii="Times New Roman;Times;Serif" w:hAnsi="Times New Roman;Times;Serif"/>
                  <w:b w:val="false"/>
                  <w:i w:val="false"/>
                  <w:caps w:val="false"/>
                  <w:smallCaps w:val="false"/>
                  <w:sz w:val="20"/>
                </w:rPr>
                <w:t>Form of Pre-Funded Common Stock Purchase Warrant</w:t>
              </w:r>
            </w:hyperlink>
          </w:p>
        </w:tc>
      </w:tr>
      <w:tr>
        <w:trPr/>
        <w:tc>
          <w:tcPr>
            <w:tcW w:w="9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40" w:type="dxa"/>
            <w:tcBorders/>
            <w:tcMar>
              <w:bottom w:w="0" w:type="dxa"/>
            </w:tcMar>
            <w:vAlign w:val="center"/>
          </w:tcPr>
          <w:p>
            <w:pPr>
              <w:pStyle w:val="TableContents"/>
              <w:bidi w:val="0"/>
              <w:spacing w:before="0" w:after="283"/>
              <w:jc w:val="both"/>
              <w:rPr/>
            </w:pPr>
            <w:hyperlink w:anchor="ex4-2.htm">
              <w:r>
                <w:rPr>
                  <w:rStyle w:val="InternetLink"/>
                  <w:rFonts w:ascii="Times New Roman;Times;Serif" w:hAnsi="Times New Roman;Times;Serif"/>
                  <w:b w:val="false"/>
                  <w:i w:val="false"/>
                  <w:caps w:val="false"/>
                  <w:smallCaps w:val="false"/>
                  <w:sz w:val="20"/>
                </w:rPr>
                <w:t>Form of Common Stock Purchase Warrant</w:t>
              </w:r>
            </w:hyperlink>
          </w:p>
        </w:tc>
      </w:tr>
      <w:tr>
        <w:trPr/>
        <w:tc>
          <w:tcPr>
            <w:tcW w:w="9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40" w:type="dxa"/>
            <w:tcBorders/>
            <w:tcMar>
              <w:bottom w:w="0" w:type="dxa"/>
            </w:tcMar>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Form of Securities Purchase Agreement by and between the Company and the Investor</w:t>
              </w:r>
            </w:hyperlink>
          </w:p>
        </w:tc>
      </w:tr>
      <w:tr>
        <w:trPr/>
        <w:tc>
          <w:tcPr>
            <w:tcW w:w="9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40" w:type="dxa"/>
            <w:tcBorders/>
            <w:tcMar>
              <w:bottom w:w="0" w:type="dxa"/>
            </w:tcMar>
            <w:vAlign w:val="center"/>
          </w:tcPr>
          <w:p>
            <w:pPr>
              <w:pStyle w:val="TableContents"/>
              <w:bidi w:val="0"/>
              <w:spacing w:before="0" w:after="283"/>
              <w:jc w:val="both"/>
              <w:rPr/>
            </w:pPr>
            <w:hyperlink w:anchor="ex10-2.htm">
              <w:r>
                <w:rPr>
                  <w:rStyle w:val="InternetLink"/>
                  <w:rFonts w:ascii="Times New Roman;Times;Serif" w:hAnsi="Times New Roman;Times;Serif"/>
                  <w:b w:val="false"/>
                  <w:i w:val="false"/>
                  <w:caps w:val="false"/>
                  <w:smallCaps w:val="false"/>
                  <w:sz w:val="20"/>
                </w:rPr>
                <w:t>Form of Registration Rights Agreement by and between the Company and the Investor</w:t>
              </w:r>
            </w:hyperlink>
          </w:p>
        </w:tc>
      </w:tr>
      <w:tr>
        <w:trPr/>
        <w:tc>
          <w:tcPr>
            <w:tcW w:w="9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40" w:type="dxa"/>
            <w:tcBorders/>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dated September 24, 2026.</w:t>
              </w:r>
            </w:hyperlink>
          </w:p>
        </w:tc>
      </w:tr>
      <w:tr>
        <w:trPr/>
        <w:tc>
          <w:tcPr>
            <w:tcW w:w="9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center"/>
        <w:rPr>
          <w:caps w:val="false"/>
          <w:smallCaps w:val="false"/>
        </w:rPr>
      </w:pPr>
      <w:r>
        <w:rPr>
          <w:caps w:val="false"/>
          <w:smallCaps w:val="false"/>
        </w:rPr>
        <w:t> </w:t>
      </w:r>
    </w:p>
    <w:tbl>
      <w:tblPr>
        <w:tblW w:w="6735" w:type="dxa"/>
        <w:jc w:val="left"/>
        <w:tblInd w:w="0" w:type="dxa"/>
        <w:tblLayout w:type="fixed"/>
        <w:tblCellMar>
          <w:top w:w="0" w:type="dxa"/>
          <w:left w:w="0" w:type="dxa"/>
          <w:bottom w:w="0" w:type="dxa"/>
          <w:right w:w="0" w:type="dxa"/>
        </w:tblCellMar>
      </w:tblPr>
      <w:tblGrid>
        <w:gridCol w:w="2135"/>
        <w:gridCol w:w="320"/>
        <w:gridCol w:w="4280"/>
      </w:tblGrid>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46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HCW BIOLOGICS INC.</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2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24,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2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Hing C. Wong</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Hing C. Wong, Founder and Chief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23" w:name="ex4-1.htm"/>
      <w:bookmarkStart w:id="24" w:name="ksex4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HCW BIOLOGICS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PRE-FUNDED WARRANT</w:t>
      </w:r>
    </w:p>
    <w:p>
      <w:pPr>
        <w:pStyle w:val="TextBody"/>
        <w:bidi w:val="0"/>
        <w:spacing w:before="0" w:after="0"/>
        <w:jc w:val="center"/>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1520"/>
        <w:gridCol w:w="60"/>
        <w:gridCol w:w="3155"/>
      </w:tblGrid>
      <w:tr>
        <w:trPr/>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Shares: [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Exercise Date: [_______], 2026</w:t>
            </w:r>
          </w:p>
        </w:tc>
      </w:tr>
      <w:tr>
        <w:trPr/>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Date: [_______], 2026</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PRE-FUNDED WARRANT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certifies that, for value received, [_______] 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the date hereof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and until this Warrant is exercised in full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but not thereafter, to subscribe for and purchase from HCW Biologics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[_____] shares of Common Stock (as subject to adjustment hereunder,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The purchase price of one share of Common Stock under this Warrant shall be equal to the Exercise Price, as defined in Section 2(b).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and not otherwise defined herein shall have the meanings set forth in that certain Securities Purchase Agreement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dated [ ], 2026, among the Company and the purchasers signatory thereto.</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Subject to Section 2(e) herein,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annexed hereto (the “</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Times;Serif" w:hAnsi="Times New Roman;Times;Serif"/>
          <w:b/>
          <w:i w:val="false"/>
          <w:caps w:val="false"/>
          <w:smallCaps w:val="false"/>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aggregate exercise price of this Warrant, except for a nominal exercise price of $0.0001 per Warrant Share, was pre-funded to the Company on or prior to the Initial Exercise Date and, consequently, no additional consideration (other than the nominal exercise price of $0.0001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The remaining unpaid exercise price per share of Common Stock under this Warrant shall be $0.0001, subject to adjustment hereunder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xml:space="preserve">. This Warrant may also be exercised, in whole or in part, at such time by means of a “cashless exercise” in which the Holder shall be entitled to receive a number of Warrant Shares equal to the quotient obtained by dividing </w:t>
      </w:r>
      <w:r>
        <w:rPr>
          <w:rFonts w:ascii="Times New Roman;Times;Serif" w:hAnsi="Times New Roman;Times;Serif"/>
          <w:b w:val="false"/>
          <w:i w:val="false"/>
          <w:caps w:val="false"/>
          <w:smallCaps w:val="false"/>
          <w:sz w:val="20"/>
        </w:rPr>
        <w:drawing>
          <wp:inline distT="0" distB="0" distL="0" distR="0">
            <wp:extent cx="428625" cy="276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28625" cy="276225"/>
                    </a:xfrm>
                    <a:prstGeom prst="rect">
                      <a:avLst/>
                    </a:prstGeom>
                  </pic:spPr>
                </pic:pic>
              </a:graphicData>
            </a:graphic>
          </wp:inline>
        </w:drawing>
      </w:r>
      <w:r>
        <w:rPr>
          <w:rFonts w:ascii="Times New Roman;Times;Serif" w:hAnsi="Times New Roman;Times;Serif"/>
          <w:b w:val="false"/>
          <w:i w:val="false"/>
          <w:caps w:val="false"/>
          <w:smallCaps w:val="false"/>
          <w:sz w:val="20"/>
        </w:rPr>
        <w:t>, where: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as applicable: (i) the VWAP on the Trading Day immediately preceding the date of the applicable Notice of Exercise if such Notice of Exercise is (1) delivered pursuant to Section 2(a) hereof on a day that is not a Trading Day or (2) delivered pursuant to Section 2(a) hereof on a Trading Day prior to the opening of “regular trading hours” (as defined in Rule 600(b) of Regulation NMS promulgated under the federal securities laws) on such Trading Day, (ii) the highest Bid Price of the shares of Common Stock on the principal Trading Market as reported by Bloomberg L.P. (“Bloomberg”) within two (2) hours of the time of the Holder’s delivery of the Notice of Exercise pursuant to Section 2(a) hereof if such Notice of Exercise is delivered during “regular trading hours,” or with two (2) hours after the close of “regular trading hours,” on a Trading Day or (iii) the VWAP on the date of the applicable Notice of Exercise if the date of such Notice of Exercise is a Trading Day and such Notice of Exercise is delivered pursuant to Section 2(a) hereof after two (2) hours following the close of “regular trading hours” on such Trading Day;</w:t>
      </w:r>
    </w:p>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the Exercise Price of this Warrant, as adjusted hereunder; and</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2160" w:right="0" w:hanging="72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 the number of Warrant Shares that would be issuable upon exercise of this Warrant in accordance with the terms of this Warrant if such exercise were by means of a cash exercise rather than a cashless exercise.</w:t>
      </w:r>
    </w:p>
    <w:p>
      <w:pPr>
        <w:pStyle w:val="TextBody"/>
        <w:bidi w:val="0"/>
        <w:spacing w:before="0" w:after="0"/>
        <w:ind w:left="2070" w:right="0" w:hanging="63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If Warrant Shares are issued in such a cashless exercise, the parties acknowledge and agree that in accordance with Section 3(a)(9) of the Securities Act, the Warrant Shares shall take on the characteristics of the Warrants being exercised, and the holding period of the Warrant Shares being issued may be tacked on to the holding period of this Warrant. The Company agrees not to take any position contrary to this Section 2(c).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shares of Common Stock are then listed or quoted on a Trading Market, the daily volume weighted average price of the shares of Common Stock for such date (or the nearest preceding date) on the Trading Market on which the shares of Common Stock is then listed or quoted as reported by Bloomberg (based on a Trading Day from 9:30 a.m. (New York City time) to 4:02 p.m. (New York City time)), (b) if OTCQB or OTCQX is not a Trading Market, the volume weighted average price of the shares of Common Stock for such date (or the nearest preceding date) on OTCQB or OTCQX as applicable, (c) if the shares of Common Stock are not then listed or quoted for trading on OTCQB or OTCQX and if prices for the shares of Common Stock are then reported in The Pink Open Market (or a similar organization or agency succeeding to its functions of reporting prices), the most recent bid price per shares of Common Stock so reported, or (d) in all other cases, the fair market value of a share of shares of Common Stock as determined by an independent appraiser selected in good faith by the Purchasers of a majority in interest of the Securities then outstanding and reasonably acceptable to the Company, the fees and expenses of which shall be paid by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Bid Price</w:t>
      </w:r>
      <w:r>
        <w:rPr>
          <w:rFonts w:ascii="Times New Roman;Times;Serif" w:hAnsi="Times New Roman;Times;Serif"/>
          <w:b w:val="false"/>
          <w:i w:val="false"/>
          <w:caps w:val="false"/>
          <w:smallCaps w:val="false"/>
          <w:sz w:val="20"/>
        </w:rPr>
        <w:t>” means, for any date, the price determined by the first of the following clauses that applies: (a) if the shares of Common Stock are then listed or quoted on a Trading Market, the bid price of the shares of Common Stock for the time in question (or the nearest preceding date) on the Trading Market on which the shares of Common Stock are then listed or quoted as reported by Bloomberg (based on a Trading Day from 9:30 a.m. (New York City time) to 4:02 p.m. (New York City time)), (b) if OTCQB or OTCQX is not a Trading Market, the volume weighted average price of the shares of Common Stock for such date (or the nearest preceding date) on OTCQB or OTCQX as applicable, (c) if the shares of Common Stock are not then listed or quoted for trading on OTCQB or OTCQX and if prices for shares of Common Stock are then reported on The Pink Open Market (or a similar organization or agency succeeding to its functions of reporting prices), the most recent bid price per share of the shares of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Delivery of Warrant Shares Upon Exercise</w:t>
      </w:r>
      <w:r>
        <w:rPr>
          <w:rFonts w:ascii="Times New Roman;Times;Serif" w:hAnsi="Times New Roman;Times;Serif"/>
          <w:b w:val="false"/>
          <w:i w:val="false"/>
          <w:caps w:val="false"/>
          <w:smallCaps w:val="false"/>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and (ii) the number of Trading Days comprising the Standard Settlement Period after the delivery to the Company of the Notice of Exercise (such date, the “</w:t>
      </w:r>
      <w:r>
        <w:rPr>
          <w:rFonts w:ascii="Times New Roman;Times;Serif" w:hAnsi="Times New Roman;Times;Serif"/>
          <w:b w:val="false"/>
          <w:i w:val="false"/>
          <w:caps w:val="false"/>
          <w:smallCaps w:val="false"/>
          <w:sz w:val="20"/>
          <w:u w:val="single"/>
        </w:rPr>
        <w:t>Warrant Share Delivery Date</w:t>
      </w:r>
      <w:r>
        <w:rPr>
          <w:rFonts w:ascii="Times New Roman;Times;Serif" w:hAnsi="Times New Roman;Times;Serif"/>
          <w:b w:val="false"/>
          <w:i w:val="false"/>
          <w:caps w:val="false"/>
          <w:smallCaps w:val="false"/>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shares of Common Stock on the date of the applicable Notice of Exercise), $10 per Trading Day (increasing to $20 per Trading Day on the third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Company’s primary Trading Market with respect to the shares of Common Stock as in effect on the date of delivery of the Notice of Exercise.</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0"/>
        <w:ind w:left="234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Transfer Agent to transmit to the Holder the Warrant Shares pursuant to Section 2(d)(i) by the Warrant Share Delivery Date, then the Holder will have the right to rescind such exercise.</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2340" w:right="0" w:firstLine="720"/>
        <w:jc w:val="center"/>
        <w:rPr>
          <w:caps w:val="false"/>
          <w:smallCaps w:val="false"/>
        </w:rPr>
      </w:pPr>
      <w:r>
        <w:rPr>
          <w:caps w:val="false"/>
          <w:smallCaps w:val="false"/>
        </w:rPr>
        <w:t> </w:t>
      </w:r>
    </w:p>
    <w:p>
      <w:pPr>
        <w:pStyle w:val="TextBody"/>
        <w:bidi w:val="0"/>
        <w:spacing w:before="0" w:after="0"/>
        <w:ind w:left="23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Compensation for Buy-In on Failure to Timely Deliver Warrant Shares Upon Exercise</w:t>
      </w:r>
      <w:r>
        <w:rPr>
          <w:rFonts w:ascii="Times New Roman;Times;Serif" w:hAnsi="Times New Roman;Times;Serif"/>
          <w:b w:val="false"/>
          <w:i w:val="false"/>
          <w:caps w:val="false"/>
          <w:smallCaps w:val="false"/>
          <w:sz w:val="20"/>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(other than any such failure that is solely due to any action or inaction by the Holder with respect to such exercise),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shares of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pStyle w:val="TextBody"/>
        <w:bidi w:val="0"/>
        <w:spacing w:before="0" w:after="0"/>
        <w:ind w:left="234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stockholder books or records in any manner which prevents the timely exercise of this Warrant, pursuant to the terms hereof.</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Holder’s Exercise Limitations</w:t>
      </w:r>
      <w:r>
        <w:rPr>
          <w:rFonts w:ascii="Times New Roman;Times;Serif" w:hAnsi="Times New Roman;Times;Serif"/>
          <w:b w:val="false"/>
          <w:i w:val="false"/>
          <w:caps w:val="false"/>
          <w:smallCaps w:val="false"/>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be 4.99% (or, upon election by a Holder prior to the issuance of any Warrants, 9.99%) of the number of shares of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Stock Dividends and Splits</w:t>
      </w:r>
      <w:r>
        <w:rPr>
          <w:rFonts w:ascii="Times New Roman;Times;Serif" w:hAnsi="Times New Roman;Times;Serif"/>
          <w:b w:val="false"/>
          <w:i w:val="false"/>
          <w:caps w:val="false"/>
          <w:smallCaps w:val="false"/>
          <w:sz w:val="20"/>
        </w:rPr>
        <w:t>. If the Company, at any time while this Warrant is outstanding: (i) pays a stock dividend or otherwise makes a distribution or distributions on shares of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Common Stock any shares or other equity interests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Subsequent Rights Offerings</w:t>
      </w:r>
      <w:r>
        <w:rPr>
          <w:rFonts w:ascii="Times New Roman;Times;Serif" w:hAnsi="Times New Roman;Times;Serif"/>
          <w:b w:val="false"/>
          <w:i w:val="false"/>
          <w:caps w:val="false"/>
          <w:smallCaps w:val="false"/>
          <w:sz w:val="20"/>
        </w:rPr>
        <w:t>. In addition to any adjustments pursuant to Section 3(a) above, if at any time the Company grants, issues or sells any Common Stock Equivalents or rights to purchase stock, warrants, securities or other property pro rata to the record holders of any class of Common Stock (the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Common Stock are to be determined for the grant, issue or sale of such Purchase Rights (provided, however,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center"/>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During such time as this Warrant is outstanding, if the Company shall declare or make any dividend or other distribution of its assets (or rights to acquire its assets) to holders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Common Stock are to be determined for the participation in such Distribution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xml:space="preserve"> If, at any time while this Warrant is outstanding, (i) the Company, directly or indirectly, in one or more related transactions effects any merger or consolidation of the Company with or into another Person (excluding mergers effected solely to change the Company’s name),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more than 50% of the outstanding shares of Common Stock or more than 50% of the voting power of the common equity of the Company, (iv) the Company, directly or indirectly, in one or more related transactions effects any reclassification, reorganization or recapitalization of the shares of Common Stock or any compulsory share exchange pursuant to which the shares of Common Stock are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or more than 50% of the voting power of the common equity of the Company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and to the extent is within the Company’s control to cause the successor or acquiring corporation to deliver to the Holder the foregoing, the number of shares of Common Stock of the successor or acquiring corporation or of the Company, if it is the surviving corporation, and any additional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that is within the Company’s control and in which the Company is not the survivor (the “Successor Entity”) to assume in writing all of the obligations of the Company under this Warrant and the other Transaction Documents in accordance with the provisions of this Section 3(d)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800" w:right="0" w:hanging="0"/>
        <w:jc w:val="center"/>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216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If (A) the Company shall declare a dividend (or any other distribution in whatever form) on the shares of Common Stock, (B) the Company shall declare a special nonrecurring cash dividend on or a redemption of the shares of Common Stock, (C) the Company shall authorize the granting to all holders of Common Stock rights or warrants to subscribe for or purchase any shares of Common Stock (or other equity interests) of any class or of any rights, (D) the approval of any stockholders of the Company shall be required in connection with any reclassification of the shares of Common Stock, any consolidation or merger to which the Company (or any of its Subsidiaries) is a party, any sale or transfer of all or substantially all of its assets, or any compulsory share exchange whereby the shares of Common Stock are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shares of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shares of Common Stock of record shall be entitled to exchange their shares of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Report on Form 6-K.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Subject to compliance with any applicable securities laws,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center"/>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original Issue Date and shall be identical with this Warrant except as to the number of Warrant Shares issuable pursuant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(the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 Rights as Stockholder Until Exercise; No Settlement in Cash</w:t>
      </w:r>
      <w:r>
        <w:rPr>
          <w:rFonts w:ascii="Times New Roman;Times;Serif" w:hAnsi="Times New Roman;Times;Serif"/>
          <w:b w:val="false"/>
          <w:i w:val="false"/>
          <w:caps w:val="false"/>
          <w:smallCaps w:val="false"/>
          <w:sz w:val="20"/>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in no event shall the Company be required to net cash settle an exercise of this Warrant.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Trading Day, then such action may be taken or such right may be exercised on the next succeeding Trading Day.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during the period the Warrant is outstanding, it will reserve from its authorized and unissued shares of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shares of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Jurisdiction</w:t>
      </w:r>
      <w:r>
        <w:rPr>
          <w:rFonts w:ascii="Times New Roman;Times;Serif" w:hAnsi="Times New Roman;Times;Serif"/>
          <w:b w:val="false"/>
          <w:i w:val="false"/>
          <w:caps w:val="false"/>
          <w:smallCaps w:val="false"/>
          <w:sz w:val="20"/>
        </w:rPr>
        <w:t>. All questions concerning the construction, validity, enforcement and interpretation of this Warrant shall be determined in accordance with the provisions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request or other document required or permitted to be given or delivered to the Holder by the Company shall be delivered in accordance with the notice provisions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shares of Common Stock or as a stockholder of the Company, whether such liability is asserted by the Company or by creditors of the Company.</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Warrant may be modified or amended or the provisions hereof waived with the written consent of the Company, on the one hand, and the written consent of the holders holding the majority of the then outstanding Warrants, on the other hand.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 Signature Page Follows</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ind w:left="0" w:right="0" w:hanging="0"/>
        <w:jc w:val="both"/>
        <w:rPr>
          <w:caps w:val="false"/>
          <w:smallCaps w:val="false"/>
        </w:rPr>
      </w:pPr>
      <w:r>
        <w:rPr>
          <w:caps w:val="false"/>
          <w:smallCaps w:val="false"/>
        </w:rPr>
        <w:t> </w:t>
      </w:r>
    </w:p>
    <w:tbl>
      <w:tblPr>
        <w:tblW w:w="2179" w:type="dxa"/>
        <w:jc w:val="left"/>
        <w:tblInd w:w="0" w:type="dxa"/>
        <w:tblLayout w:type="fixed"/>
        <w:tblCellMar>
          <w:top w:w="0" w:type="dxa"/>
          <w:left w:w="0" w:type="dxa"/>
          <w:bottom w:w="0" w:type="dxa"/>
          <w:right w:w="0" w:type="dxa"/>
        </w:tblCellMar>
      </w:tblPr>
      <w:tblGrid>
        <w:gridCol w:w="75"/>
        <w:gridCol w:w="940"/>
        <w:gridCol w:w="116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04"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HCW BIOLOGICS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16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16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164"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To: _______________________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(check applicable box):</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 lawful money of the United States; or</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issue said Warrant Shares in the name of the undersigned or in such other name as is specified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Shares shall be delivered to the following DWAC Account Number: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[SIGNATURE OF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Investing Entity: ________________________________________________________________________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Investing Entity</w:t>
      </w:r>
      <w:r>
        <w:rPr>
          <w:rFonts w:ascii="Times New Roman;Times;Serif" w:hAnsi="Times New Roman;Times;Serif"/>
          <w:b w:val="false"/>
          <w:i w:val="false"/>
          <w:caps w:val="false"/>
          <w:smallCaps w:val="false"/>
          <w:sz w:val="20"/>
        </w:rPr>
        <w:t>: _________________________________________________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___________________________________________________________________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____________________________________________________________________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________________________________________________________________________________________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21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purchase shares.)</w:t>
      </w:r>
    </w:p>
    <w:p>
      <w:pPr>
        <w:pStyle w:val="TextBody"/>
        <w:bidi w:val="0"/>
        <w:spacing w:before="0" w:after="0"/>
        <w:ind w:left="0" w:right="0" w:firstLine="210"/>
        <w:jc w:val="left"/>
        <w:rPr>
          <w:caps w:val="false"/>
          <w:smallCaps w:val="false"/>
        </w:rPr>
      </w:pPr>
      <w:r>
        <w:rPr>
          <w:caps w:val="false"/>
          <w:smallCaps w:val="false"/>
        </w:rPr>
        <w:t> </w:t>
      </w:r>
    </w:p>
    <w:p>
      <w:pPr>
        <w:pStyle w:val="TextBody"/>
        <w:bidi w:val="0"/>
        <w:spacing w:before="0" w:after="0"/>
        <w:ind w:left="0" w:right="0" w:firstLine="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spacing w:before="0" w:after="0"/>
        <w:ind w:left="0" w:right="0" w:firstLine="210"/>
        <w:jc w:val="left"/>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3170"/>
        <w:gridCol w:w="60"/>
        <w:gridCol w:w="1100"/>
      </w:tblGrid>
      <w:tr>
        <w:trPr/>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tc>
      </w:tr>
      <w:tr>
        <w:trPr/>
        <w:tc>
          <w:tcPr>
            <w:tcW w:w="3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tc>
      </w:tr>
      <w:tr>
        <w:trPr/>
        <w:tc>
          <w:tcPr>
            <w:tcW w:w="3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Number:</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_______________ __, ______</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Signature: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Address:</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firstLine="720"/>
        <w:jc w:val="center"/>
        <w:rPr>
          <w:caps w:val="false"/>
          <w:smallCaps w:val="false"/>
        </w:rPr>
      </w:pPr>
      <w:bookmarkStart w:id="25" w:name="ex4-2.htm"/>
      <w:bookmarkStart w:id="26" w:name="ksex42"/>
      <w:bookmarkEnd w:id="25"/>
      <w:bookmarkEnd w:id="2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COMMON STOCK PURCHASE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HCW BIOLOGICS INC.</w:t>
      </w:r>
    </w:p>
    <w:p>
      <w:pPr>
        <w:pStyle w:val="TextBody"/>
        <w:bidi w:val="0"/>
        <w:spacing w:before="0" w:after="0"/>
        <w:ind w:left="0" w:right="0" w:hanging="0"/>
        <w:jc w:val="center"/>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2090"/>
        <w:gridCol w:w="60"/>
        <w:gridCol w:w="2585"/>
      </w:tblGrid>
      <w:tr>
        <w:trPr/>
        <w:tc>
          <w:tcPr>
            <w:tcW w:w="2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Shares: _______</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5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Date: September 23,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COMMON STOCK PURCHASE WARRANT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xml:space="preserve">”) certifies that, for value received, </w:t>
      </w:r>
      <w:r>
        <w:rPr>
          <w:rFonts w:ascii="Times New Roman;Times;Serif" w:hAnsi="Times New Roman;Times;Serif"/>
          <w:b w:val="false"/>
          <w:i w:val="false"/>
          <w:smallCaps/>
          <w:sz w:val="20"/>
        </w:rPr>
        <w:t xml:space="preserve">_____________. </w:t>
      </w:r>
      <w:r>
        <w:rPr>
          <w:rFonts w:ascii="Times New Roman;Times;Serif" w:hAnsi="Times New Roman;Times;Serif"/>
          <w:b w:val="false"/>
          <w:i w:val="false"/>
          <w:caps w:val="false"/>
          <w:smallCaps w:val="false"/>
          <w:sz w:val="20"/>
        </w:rPr>
        <w:t>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the date of issuance hereof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and on or prior to 5:00 p.m. (New York City time) on the date that is five and one-half (5.5) years after the Initial Exercise Date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but not thereafter, to subscribe for and purchase from HCW Biologics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________ shares (as subject to adjustment hereunder,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of Common Stock. The purchase price of one share of Common Stock under this Warrant shall be equal to the Exercise Price, as defined in Section 2(b).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and not otherwise defined herein shall have the meanings set forth in that certain Securities Purchase Agreement (the “Purchase Agreement”), dated September [*], 2026, among the Company and the purchasers signatory thereto. In addition to the terms defined elsewhere in this Warrant, the following terms have the meanings indicated in this Section 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108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Bid Price</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xml:space="preserve">” means any day other than Saturday, Sunday or other day on which commercial banks in The City of New York are authorized or required by law to remain closed;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common stock of the Company, par value $0.0001 per share, and any other class of securities into which such securities may hereafter be reclassified or changed.</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 Equivalents</w:t>
      </w:r>
      <w:r>
        <w:rPr>
          <w:rFonts w:ascii="Times New Roman;Times;Serif" w:hAnsi="Times New Roman;Times;Serif"/>
          <w:b w:val="false"/>
          <w:i w:val="false"/>
          <w:caps w:val="false"/>
          <w:smallCaps w:val="false"/>
          <w:sz w:val="20"/>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108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subsidiary of the Company and shall, where applicable, also include any direct or indirect subsidiary of the Company formed or acquired after the date hereof.</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Common Stock is traded on a Trading Market.</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NYSE American, the Nasdaq Capital Market, the Nasdaq Global Market, the Nasdaq Global Select Market, the New York Stock Exchange (or any successors to any of the foregoing).</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means Equiniti Trust Company, LLC, the current transfer agent of the Company, with a mailing address of 48 Wall Street, Floor 23, New York, New York 10005 and an email address of frank.misciagna@equiniti.com, and any successor transfer agent of the Company.</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means this Warrant and other Common Warrants (as defined in the Purchase Agreement) issued by the Company pursuant to the Purchase Agreement.</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Times;Serif" w:hAnsi="Times New Roman;Times;Serif"/>
          <w:b/>
          <w:i w:val="false"/>
          <w:caps w:val="false"/>
          <w:smallCaps w:val="false"/>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exercise price per share of Common Stock under this Warrant shall be equal to the Per Share Purchase Price (as defined in the Purchase Agreement), subject to adjustment hereunder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If at the time of exercise hereof there is no effective registration statement registering, or the prospectus contained therein is not available for the issuance of the Warrant Shares to the Holder, then this Warrant may also be exercised, in whole or in part, at such time by means of a “cashless exercise” in which the Holder shall be entitled to receive a number of Warrant Shares equal to the quotient obtained by dividing [(A-B) (X)] by (A), where: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as applicable: (i) the VWAP on the Trading Day immediately preceding the date of the applicable Notice of Exercise if such Notice of Exercise is (1) delivered pursuant to Section 2(a) hereof on a day that is not a Trading Day or (2) delivered pursuant to Section 2(a) hereof on a Trading Day prior to the opening of “regular trading hours” (as defined in Rule 600(b) of Regulation NMS promulgated under the federal securities laws) on such Trading Day, (ii) the highest Bid Price of the Common Stock on the principal Trading Market as reported by Bloomberg L.P. (“</w:t>
      </w:r>
      <w:r>
        <w:rPr>
          <w:rFonts w:ascii="Times New Roman;Times;Serif" w:hAnsi="Times New Roman;Times;Serif"/>
          <w:b w:val="false"/>
          <w:i w:val="false"/>
          <w:caps w:val="false"/>
          <w:smallCaps w:val="false"/>
          <w:sz w:val="20"/>
          <w:u w:val="single"/>
        </w:rPr>
        <w:t>Bloomberg</w:t>
      </w:r>
      <w:r>
        <w:rPr>
          <w:rFonts w:ascii="Times New Roman;Times;Serif" w:hAnsi="Times New Roman;Times;Serif"/>
          <w:b w:val="false"/>
          <w:i w:val="false"/>
          <w:caps w:val="false"/>
          <w:smallCaps w:val="false"/>
          <w:sz w:val="20"/>
        </w:rPr>
        <w:t>”) within two (2) hours of the time of the Holder’s delivery of the Notice of Exercise pursuant to Section 2(a) hereof if such Notice of Exercise is delivered during “regular trading hours,” or within two (2) hours after the close of “regular trading hours,” on a Trading Day or (iii) the VWAP on the date of the applicable Notice of Exercise if the date of such Notice of Exercise is a Trading Day and such Notice of Exercise is delivered pursuant to Section 2(a) hereof after two (2) hours following the close of “regular trading hours” on such Trading Day;</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the Exercise Price of this Warrant, as adjusted hereunder; and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 the number of Warrant Shares that would be issuable upon exercise of this Warrant in accordance with the terms of this Warrant if such exercise were by means of a cash exercise rather than a cashless exercise.</w:t>
      </w:r>
    </w:p>
    <w:p>
      <w:pPr>
        <w:pStyle w:val="TextBody"/>
        <w:bidi w:val="0"/>
        <w:spacing w:before="0" w:after="0"/>
        <w:ind w:left="2668" w:right="0" w:hanging="882"/>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Warrant Shares are issued in such a cashless exercise, the parties acknowledge and agree that in accordance with Section 3(a)(9) of the Securities Act, the Warrant Shares shall take on the characteristics of the Warrants being exercised, and the holding period of the Warrant Shares being issued may be tacked on to the holding period of this Warrant. The Company agrees not to take any position contrary to this Section 2(c).</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on the Termination Date, this Warrant shall be automatically exercised via cashless exercise pursuant to this Section 2(c).</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Delivery of Warrant Shares Upon Exercise</w:t>
      </w:r>
      <w:r>
        <w:rPr>
          <w:rFonts w:ascii="Times New Roman;Times;Serif" w:hAnsi="Times New Roman;Times;Serif"/>
          <w:b w:val="false"/>
          <w:i w:val="false"/>
          <w:caps w:val="false"/>
          <w:smallCaps w:val="false"/>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Times;Serif" w:hAnsi="Times New Roman;Times;Serif"/>
          <w:b w:val="false"/>
          <w:i w:val="false"/>
          <w:caps w:val="false"/>
          <w:smallCaps w:val="false"/>
          <w:sz w:val="20"/>
          <w:u w:val="single"/>
        </w:rPr>
        <w:t>Warrant Share Delivery Date</w:t>
      </w:r>
      <w:r>
        <w:rPr>
          <w:rFonts w:ascii="Times New Roman;Times;Serif" w:hAnsi="Times New Roman;Times;Serif"/>
          <w:b w:val="false"/>
          <w:i w:val="false"/>
          <w:caps w:val="false"/>
          <w:smallCaps w:val="false"/>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Company’s primary Trading Market with respect to the Common Stock as in effect on the date of delivery of the Notice of Exercise.</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Transfer Agent to transmit to the Holder the Warrant Shares pursuant to Section 2(d)(i) by the Warrant Share Delivery Date, then the Holder will have the right to rescind such exercise.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Compensation for Buy-In on Failure to Timely Deliver Warrant Shares Upon Exercise</w:t>
      </w:r>
      <w:r>
        <w:rPr>
          <w:rFonts w:ascii="Times New Roman;Times;Serif" w:hAnsi="Times New Roman;Times;Serif"/>
          <w:b w:val="false"/>
          <w:i w:val="false"/>
          <w:caps w:val="false"/>
          <w:smallCaps w:val="false"/>
          <w:sz w:val="20"/>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stockholder books or records in any manner which prevents the timely exercise of this Warrant, pursuant to the terms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Holder’s Exercise Limitations</w:t>
      </w:r>
      <w:r>
        <w:rPr>
          <w:rFonts w:ascii="Times New Roman;Times;Serif" w:hAnsi="Times New Roman;Times;Serif"/>
          <w:b w:val="false"/>
          <w:i w:val="false"/>
          <w:caps w:val="false"/>
          <w:smallCaps w:val="false"/>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be 4.99% (or, upon election by a Holder prior to the issuance of any Warrants, 9.99%) of the number of shares of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Stock Dividends and Splits</w:t>
      </w:r>
      <w:r>
        <w:rPr>
          <w:rFonts w:ascii="Times New Roman;Times;Serif" w:hAnsi="Times New Roman;Times;Serif"/>
          <w:b w:val="false"/>
          <w:i w:val="false"/>
          <w:caps w:val="false"/>
          <w:smallCaps w:val="false"/>
          <w:sz w:val="20"/>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Subsequent Rights Offerings</w:t>
      </w:r>
      <w:r>
        <w:rPr>
          <w:rFonts w:ascii="Times New Roman;Times;Serif" w:hAnsi="Times New Roman;Times;Serif"/>
          <w:b w:val="false"/>
          <w:i w:val="false"/>
          <w:caps w:val="false"/>
          <w:smallCaps w:val="false"/>
          <w:sz w:val="20"/>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To the extent that this Warrant has not been partially or completely exercised at the time of such Distribution, such portion of the Distribution shall be held in abeyance for the benefit of the Holder until the Holder has exercised this Warrant.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xml:space="preserve">”)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holders of Common Stock of the Company are not offered or paid any consideration in such Fundamental Transaction, such holders of Common Stock will be deemed to have received common stock of the Successor Entity (which Successor Entity may be the Company following such Fundamental Transaction) in such Fundamental Transaction. “</w:t>
      </w:r>
      <w:r>
        <w:rPr>
          <w:rFonts w:ascii="Times New Roman;Times;Serif" w:hAnsi="Times New Roman;Times;Serif"/>
          <w:b w:val="false"/>
          <w:i w:val="false"/>
          <w:caps w:val="false"/>
          <w:smallCaps w:val="false"/>
          <w:sz w:val="20"/>
          <w:u w:val="single"/>
        </w:rPr>
        <w:t>Black Scholes Value</w:t>
      </w:r>
      <w:r>
        <w:rPr>
          <w:rFonts w:ascii="Times New Roman;Times;Serif" w:hAnsi="Times New Roman;Times;Serif"/>
          <w:b w:val="false"/>
          <w:i w:val="false"/>
          <w:caps w:val="false"/>
          <w:smallCaps w:val="false"/>
          <w:sz w:val="20"/>
        </w:rPr>
        <w:t>” means the value of this Warrant based on the Black-Scholes Option Pricing Model obtained from the “OV” function on Bloomberg, L.P. (“</w:t>
      </w:r>
      <w:r>
        <w:rPr>
          <w:rFonts w:ascii="Times New Roman;Times;Serif" w:hAnsi="Times New Roman;Times;Serif"/>
          <w:b w:val="false"/>
          <w:i w:val="false"/>
          <w:caps w:val="false"/>
          <w:smallCaps w:val="false"/>
          <w:sz w:val="20"/>
          <w:u w:val="single"/>
        </w:rPr>
        <w:t>Bloomberg</w:t>
      </w:r>
      <w:r>
        <w:rPr>
          <w:rFonts w:ascii="Times New Roman;Times;Serif" w:hAnsi="Times New Roman;Times;Serif"/>
          <w:b w:val="false"/>
          <w:i w:val="false"/>
          <w:caps w:val="false"/>
          <w:smallCaps w:val="false"/>
          <w:sz w:val="20"/>
        </w:rPr>
        <w:t>”)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greater of (1) the 30 day volatility, (2) the 100 day volatility or (3) the 365 day volatility, each of clauses (1)-(3) as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greater of (i) the sum of the price per share being offered in cash, if any, plus the value of any non-cash consideration, if any, being offered in such Fundamental Transaction and (ii) the VWAP immediately preceding the public announcement of the applicable contemplated Fundamental Transaction (or the consummation of the applicable Fundamental Transaction, if earlier),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to assume in writing all of the obligations of the Company under this Warrant and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shares of Common Stock for the issuance of Warrant Shares and/or (ii) whether a Fundamental Transaction occurs prior to the Initial Exercise Date.</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the rules and regulations of the Trading Market, the Company may at any time during the term of this Warrant reduce the then current Exercise Price to any amount and for any period of time deemed appropriate by the board of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(the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 Rights as Stockholder Until Exercise; No Settlement in Cash</w:t>
      </w:r>
      <w:r>
        <w:rPr>
          <w:rFonts w:ascii="Times New Roman;Times;Serif" w:hAnsi="Times New Roman;Times;Serif"/>
          <w:b w:val="false"/>
          <w:i w:val="false"/>
          <w:caps w:val="false"/>
          <w:smallCaps w:val="false"/>
          <w:sz w:val="20"/>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 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0" w:right="0" w:firstLine="94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0" w:right="0" w:firstLine="94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this Warrant shall be governed by and construed and enforced in accordance with the internal laws of the State of Delaware,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2929 N Commerce Parkway, Miramar, FL 33025, Attention: Rebecca Byam, Chief Financial Officer, email address: RebeccaByam@hcwbiologics.com, for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Commission pursuant to a Current Report on Form 8-K.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Other than Section 2(e) above and this Section 5(l), which may not be amended, modified or waived, this Warrant may be modified or amended or the provisions hereof waived with the written consent of the Company, on the one hand, and the Holder, on the other hand.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ind w:left="0" w:right="0" w:hanging="0"/>
        <w:jc w:val="both"/>
        <w:rPr>
          <w:caps w:val="false"/>
          <w:smallCaps w:val="false"/>
        </w:rPr>
      </w:pPr>
      <w:r>
        <w:rPr>
          <w:caps w:val="false"/>
          <w:smallCaps w:val="false"/>
        </w:rPr>
        <w:t> </w:t>
      </w:r>
    </w:p>
    <w:tbl>
      <w:tblPr>
        <w:tblW w:w="2359" w:type="dxa"/>
        <w:jc w:val="left"/>
        <w:tblInd w:w="0" w:type="dxa"/>
        <w:tblLayout w:type="fixed"/>
        <w:tblCellMar>
          <w:top w:w="0" w:type="dxa"/>
          <w:left w:w="0" w:type="dxa"/>
          <w:bottom w:w="0" w:type="dxa"/>
          <w:right w:w="0" w:type="dxa"/>
        </w:tblCellMar>
      </w:tblPr>
      <w:tblGrid>
        <w:gridCol w:w="940"/>
        <w:gridCol w:w="1194"/>
        <w:gridCol w:w="90"/>
        <w:gridCol w:w="135"/>
      </w:tblGrid>
      <w:tr>
        <w:trPr/>
        <w:tc>
          <w:tcPr>
            <w:tcW w:w="2134" w:type="dxa"/>
            <w:gridSpan w:val="2"/>
            <w:tcBorders/>
            <w:vAlign w:val="center"/>
          </w:tcPr>
          <w:p>
            <w:pPr>
              <w:pStyle w:val="TableContents"/>
              <w:bidi w:val="0"/>
              <w:spacing w:before="0" w:after="283"/>
              <w:jc w:val="both"/>
              <w:rPr>
                <w:rFonts w:ascii="Times New Roman;Times;Serif" w:hAnsi="Times New Roman;Times;Serif"/>
                <w:b/>
                <w:i w:val="false"/>
                <w:caps/>
                <w:sz w:val="20"/>
              </w:rPr>
            </w:pPr>
            <w:r>
              <w:rPr>
                <w:rFonts w:ascii="Times New Roman;Times;Serif" w:hAnsi="Times New Roman;Times;Serif"/>
                <w:b/>
                <w:i w:val="false"/>
                <w:caps/>
                <w:sz w:val="20"/>
              </w:rPr>
              <w:t>HCW Biologics inc.</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40" w:type="dxa"/>
            <w:tcBorders/>
            <w:vAlign w:val="center"/>
          </w:tcPr>
          <w:p>
            <w:pPr>
              <w:pStyle w:val="TableContents"/>
              <w:bidi w:val="0"/>
              <w:spacing w:before="0" w:after="283"/>
              <w:jc w:val="left"/>
              <w:rPr>
                <w:caps w:val="false"/>
                <w:smallCaps w:val="false"/>
              </w:rPr>
            </w:pPr>
            <w:r>
              <w:rPr>
                <w:caps w:val="false"/>
                <w:smallCaps w:val="false"/>
              </w:rPr>
              <w:t> </w:t>
            </w:r>
          </w:p>
        </w:tc>
        <w:tc>
          <w:tcPr>
            <w:tcW w:w="1194"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19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194"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194"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To: HCW BIOLOGICS INC.</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(check applicable box):</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 lawful money of the United States; or</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before="0" w:after="0"/>
        <w:ind w:left="4002"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issue said Warrant Shares in the name of the undersigned or in such other name as is specified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Shares shall be delivered to the following DWAC Account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[SIGNATURE OF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Investing Entity: ________________________________________________________________________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Investing Entity</w:t>
      </w:r>
      <w:r>
        <w:rPr>
          <w:rFonts w:ascii="Times New Roman;Times;Serif" w:hAnsi="Times New Roman;Times;Serif"/>
          <w:b w:val="false"/>
          <w:i w:val="false"/>
          <w:caps w:val="false"/>
          <w:smallCaps w:val="false"/>
          <w:sz w:val="20"/>
        </w:rPr>
        <w:t>: 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___________________________________________________________________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____________________________________________________________________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________________________________________________________________________________________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purchase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spacing w:before="0" w:after="0"/>
        <w:jc w:val="center"/>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3170"/>
        <w:gridCol w:w="60"/>
        <w:gridCol w:w="1100"/>
      </w:tblGrid>
      <w:tr>
        <w:trPr/>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tc>
      </w:tr>
      <w:tr>
        <w:trPr/>
        <w:tc>
          <w:tcPr>
            <w:tcW w:w="3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p>
            <w:pPr>
              <w:pStyle w:val="TableContents"/>
              <w:bidi w:val="0"/>
              <w:spacing w:before="0" w:after="0"/>
              <w:ind w:left="0" w:right="0" w:hanging="0"/>
              <w:jc w:val="left"/>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Number:</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_______________ __, ______</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Signature: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Address:</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jc w:val="center"/>
        <w:rPr>
          <w:caps w:val="false"/>
          <w:smallCaps w:val="false"/>
        </w:rPr>
      </w:pPr>
      <w:bookmarkStart w:id="27" w:name="ex10-1.htm"/>
      <w:bookmarkStart w:id="28" w:name="ksex101"/>
      <w:bookmarkEnd w:id="27"/>
      <w:bookmarkEnd w:id="28"/>
      <w:r>
        <w:rPr>
          <w:caps w:val="false"/>
          <w:smallCaps w:val="false"/>
        </w:rPr>
        <w:t> </w:t>
      </w:r>
      <w:r>
        <w:br w:type="page"/>
      </w:r>
    </w:p>
    <w:p>
      <w:pPr>
        <w:pStyle w:val="TextBody"/>
        <w:bidi w:val="0"/>
        <w:spacing w:before="0" w:after="0"/>
        <w:ind w:left="632" w:right="0" w:firstLine="88"/>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632" w:right="0" w:firstLine="8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SECURITIES PURCHASE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Securities Purchase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entered into and made effective as of September 23, 2026, by and among HCW Biologics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each purchaser identified on the signature pages hereto (each, including its successors and assigns, a “</w:t>
      </w:r>
      <w:r>
        <w:rPr>
          <w:rFonts w:ascii="Times New Roman;Times;Serif" w:hAnsi="Times New Roman;Times;Serif"/>
          <w:b/>
          <w:i w:val="false"/>
          <w:caps w:val="false"/>
          <w:smallCaps w:val="false"/>
          <w:sz w:val="20"/>
        </w:rPr>
        <w:t>Purchaser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Purchasers</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RECITALS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subject to the terms and conditions set forth in this Agreement and pursuant to an exemption from the registration requirements of Section 5 of the Securities Act contained in Section 4(a)(2) thereof and/or Rule 506(b) of Regulation D thereunder, the Company desires to issue and sell to each Purchaser, and each Purchaser, severally and not jointly, desires to purchase from the Company, shares of the Company’s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and other securities of the Company as more fully described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desires to sell to each Purchaser, and each Purchaser, severally and not jointly, desires to purchase from the Company, shares of Common Stock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and, in lieu of Shares that would otherwise result in such Purchaser’s beneficial ownership exceeding 4.99% of the number of shares of Common Stock outstanding immediately after giving effect to the issuance of such shares, pre-funded warrants to purchase shares of Common Stock (the “</w:t>
      </w:r>
      <w:r>
        <w:rPr>
          <w:rFonts w:ascii="Times New Roman;Times;Serif" w:hAnsi="Times New Roman;Times;Serif"/>
          <w:b/>
          <w:i w:val="false"/>
          <w:caps w:val="false"/>
          <w:smallCaps w:val="false"/>
          <w:sz w:val="20"/>
        </w:rPr>
        <w:t>Pre-Funded Warrants</w:t>
      </w:r>
      <w:r>
        <w:rPr>
          <w:rFonts w:ascii="Times New Roman;Times;Serif" w:hAnsi="Times New Roman;Times;Serif"/>
          <w:b w:val="false"/>
          <w:i w:val="false"/>
          <w:caps w:val="false"/>
          <w:smallCaps w:val="false"/>
          <w:sz w:val="20"/>
        </w:rPr>
        <w:t>” and the shares of Common Stock issuable upon exercise thereof, the “</w:t>
      </w:r>
      <w:r>
        <w:rPr>
          <w:rFonts w:ascii="Times New Roman;Times;Serif" w:hAnsi="Times New Roman;Times;Serif"/>
          <w:b/>
          <w:i w:val="false"/>
          <w:caps w:val="false"/>
          <w:smallCaps w:val="false"/>
          <w:sz w:val="20"/>
        </w:rPr>
        <w:t>Pre-Funded Warrant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desires to sell up to [*] Shares at a purchase price of $[*] per Share (the “</w:t>
      </w:r>
      <w:r>
        <w:rPr>
          <w:rFonts w:ascii="Times New Roman;Times;Serif" w:hAnsi="Times New Roman;Times;Serif"/>
          <w:b/>
          <w:i w:val="false"/>
          <w:caps w:val="false"/>
          <w:smallCaps w:val="false"/>
          <w:sz w:val="20"/>
        </w:rPr>
        <w:t>Per Share Purchase Price</w:t>
      </w:r>
      <w:r>
        <w:rPr>
          <w:rFonts w:ascii="Times New Roman;Times;Serif" w:hAnsi="Times New Roman;Times;Serif"/>
          <w:b w:val="false"/>
          <w:i w:val="false"/>
          <w:caps w:val="false"/>
          <w:smallCaps w:val="false"/>
          <w:sz w:val="20"/>
        </w:rPr>
        <w:t>”), and Pre-Funded Warrants in lieu of Shares at a purchase price of $[*] per Pre-Funded Warrant (equal to the Per Share Purchase Price less $0.0001) (the “</w:t>
      </w:r>
      <w:r>
        <w:rPr>
          <w:rFonts w:ascii="Times New Roman;Times;Serif" w:hAnsi="Times New Roman;Times;Serif"/>
          <w:b/>
          <w:i w:val="false"/>
          <w:caps w:val="false"/>
          <w:smallCaps w:val="false"/>
          <w:sz w:val="20"/>
        </w:rPr>
        <w:t>Per Pre-Funded Warrant Purchase Price</w:t>
      </w:r>
      <w:r>
        <w:rPr>
          <w:rFonts w:ascii="Times New Roman;Times;Serif" w:hAnsi="Times New Roman;Times;Serif"/>
          <w:b w:val="false"/>
          <w:i w:val="false"/>
          <w:caps w:val="false"/>
          <w:smallCaps w:val="false"/>
          <w:sz w:val="20"/>
        </w:rPr>
        <w:t>”), to the Purchasers upon the terms and subject to the conditions contained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further desires to issue and sell to each Purchaser, and each Purchaser, severally and not jointly, desires to purchase from the Company, common stock purchase warrants (the “</w:t>
      </w:r>
      <w:r>
        <w:rPr>
          <w:rFonts w:ascii="Times New Roman;Times;Serif" w:hAnsi="Times New Roman;Times;Serif"/>
          <w:b/>
          <w:i w:val="false"/>
          <w:caps w:val="false"/>
          <w:smallCaps w:val="false"/>
          <w:sz w:val="20"/>
        </w:rPr>
        <w:t>Common Warrants</w:t>
      </w:r>
      <w:r>
        <w:rPr>
          <w:rFonts w:ascii="Times New Roman;Times;Serif" w:hAnsi="Times New Roman;Times;Serif"/>
          <w:b w:val="false"/>
          <w:i w:val="false"/>
          <w:caps w:val="false"/>
          <w:smallCaps w:val="false"/>
          <w:sz w:val="20"/>
        </w:rPr>
        <w:t>,” and together with the Pre-Funded Warrants, the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exercisable for an aggregate of up to such number of shares of Common Stock (the “</w:t>
      </w:r>
      <w:r>
        <w:rPr>
          <w:rFonts w:ascii="Times New Roman;Times;Serif" w:hAnsi="Times New Roman;Times;Serif"/>
          <w:b/>
          <w:i w:val="false"/>
          <w:caps w:val="false"/>
          <w:smallCaps w:val="false"/>
          <w:sz w:val="20"/>
        </w:rPr>
        <w:t>Common Warrant Shares</w:t>
      </w:r>
      <w:r>
        <w:rPr>
          <w:rFonts w:ascii="Times New Roman;Times;Serif" w:hAnsi="Times New Roman;Times;Serif"/>
          <w:b w:val="false"/>
          <w:i w:val="false"/>
          <w:caps w:val="false"/>
          <w:smallCaps w:val="false"/>
          <w:sz w:val="20"/>
        </w:rPr>
        <w:t>” and together with the Pre-Funded Warrant Shares,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equal to 100% of the aggregate number of Shares and Pre-Funded Warrant Shares purchased by such Purchaser hereunder, with an exercise price per share equal to the Per Share Purchase Price, exercisable immediately upon the date of issuance, and expiring on the date that is five and one-half (5.5) years from the date of issuance;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each Purchaser desires to purchase, and the Company desires to sell, upon the terms and conditions set forth herein, such number of Shares (or Pre-Funded Warrants in lieu thereof) as specified below such Purchaser’s name on the signature page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AGREEMENT</w:t>
      </w:r>
    </w:p>
    <w:p>
      <w:pPr>
        <w:pStyle w:val="TextBody"/>
        <w:bidi w:val="0"/>
        <w:spacing w:before="0" w:after="0"/>
        <w:ind w:left="632"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contained in this Agreement, and for other good and valuable consideration the receipt and adequacy of which are hereby acknowledged, the Company and each Purchaser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p>
      <w:pPr>
        <w:pStyle w:val="TextBody"/>
        <w:bidi w:val="0"/>
        <w:spacing w:before="0" w:after="0"/>
        <w:ind w:left="4670" w:right="0" w:firstLine="1"/>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Definitions. For the purposes of this Agreement, the following words and phrases have the meanings set forth in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Acquiring Person</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Action</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3.1(j)</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shall have the meaning ascribed to such term in the preamble.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Applicable Amount</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4.2(b)</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BHCA</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3.1(pp)</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Charter</w:t>
      </w:r>
      <w:r>
        <w:rPr>
          <w:rFonts w:ascii="Times New Roman;Times;Serif" w:hAnsi="Times New Roman;Times;Serif"/>
          <w:b w:val="false"/>
          <w:i w:val="false"/>
          <w:caps w:val="false"/>
          <w:smallCaps w:val="false"/>
          <w:sz w:val="20"/>
        </w:rPr>
        <w:t>” means the Certificate of Incorporation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to be issued and sold, in each case, have been satisfied or waived, but in no event later than the second Trading Day following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Price</w:t>
      </w:r>
      <w:r>
        <w:rPr>
          <w:rFonts w:ascii="Times New Roman;Times;Serif" w:hAnsi="Times New Roman;Times;Serif"/>
          <w:b w:val="false"/>
          <w:i w:val="false"/>
          <w:caps w:val="false"/>
          <w:smallCaps w:val="false"/>
          <w:sz w:val="20"/>
        </w:rPr>
        <w:t>” means, for any security on any Trading Day, (i) the official closing price for such security on the Principal Market, as reported by Bloomberg or, if not available, as reported by The Nasdaq Stock Market LLC (the “</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(or any successor), or (ii) if no such trade price is available for that Trading Day, the fair market value of such security as determined in good faith by the Board of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1083"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the common stock of the Company, par value $0.0001 per share, and any other class of securities into which such securities may hereafter be reclassified or changed.</w:t>
      </w:r>
    </w:p>
    <w:p>
      <w:pPr>
        <w:pStyle w:val="TextBody"/>
        <w:bidi w:val="0"/>
        <w:spacing w:before="0" w:after="0"/>
        <w:ind w:left="364"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Common Stock Equivalents</w:t>
      </w:r>
      <w:r>
        <w:rPr>
          <w:rFonts w:ascii="Times New Roman;Times;Serif" w:hAnsi="Times New Roman;Times;Serif"/>
          <w:b w:val="false"/>
          <w:i w:val="false"/>
          <w:caps w:val="false"/>
          <w:smallCaps w:val="false"/>
          <w:sz w:val="20"/>
        </w:rPr>
        <w:t>” means any securities of the Company or its Subsidiaries which would entitle the holder thereof to acquire Common Stock at any time,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Common Warrants</w:t>
      </w:r>
      <w:r>
        <w:rPr>
          <w:rFonts w:ascii="Times New Roman;Times;Serif" w:hAnsi="Times New Roman;Times;Serif"/>
          <w:b w:val="false"/>
          <w:i w:val="false"/>
          <w:caps w:val="false"/>
          <w:smallCaps w:val="false"/>
          <w:sz w:val="20"/>
        </w:rPr>
        <w:t>” means, collectively, the Common Stock purchase warrants delivered to the Purchasers following receipt of Stockholder Approval in accordance with Section 2.3(c) hereof, which Common Warrants shall be exercisable immediately upon issuance, have an exercise price per share equal to the Per Share Purchase Price, and have a term of exercise equal to five and one-half (5.5) years from the date of issuance, in the form of Exhibit C attached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Common Warrant Shares</w:t>
      </w:r>
      <w:r>
        <w:rPr>
          <w:rFonts w:ascii="Times New Roman;Times;Serif" w:hAnsi="Times New Roman;Times;Serif"/>
          <w:b w:val="false"/>
          <w:i w:val="false"/>
          <w:caps w:val="false"/>
          <w:smallCaps w:val="false"/>
          <w:sz w:val="20"/>
        </w:rPr>
        <w:t>” shall have the meaning ascribed to such term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shall have the meaning ascribed to such term in the preamble. “</w:t>
      </w:r>
      <w:r>
        <w:rPr>
          <w:rFonts w:ascii="Times New Roman;Times;Serif" w:hAnsi="Times New Roman;Times;Serif"/>
          <w:b/>
          <w:i w:val="false"/>
          <w:caps w:val="false"/>
          <w:smallCaps w:val="false"/>
          <w:sz w:val="20"/>
        </w:rPr>
        <w:t>Consent</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means, collectively, the Pre-Funded Warrant Shares and the Common Warrant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Disqualification Event</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3.1(ll)</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3.1(w)</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4.1(c)</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3.1(m)</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Evaluation Date</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3.1(s)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FCPA</w:t>
      </w:r>
      <w:r>
        <w:rPr>
          <w:rFonts w:ascii="Times New Roman;Times;Serif" w:hAnsi="Times New Roman;Times;Serif"/>
          <w:b w:val="false"/>
          <w:i w:val="false"/>
          <w:caps w:val="false"/>
          <w:smallCaps w:val="false"/>
          <w:sz w:val="20"/>
        </w:rPr>
        <w:t>” means the Foreign Corrupt Practices Act of 1977, as amended.</w:t>
      </w:r>
    </w:p>
    <w:p>
      <w:pPr>
        <w:pStyle w:val="TextBody"/>
        <w:bidi w:val="0"/>
        <w:spacing w:before="0" w:after="0"/>
        <w:ind w:left="1077"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Federal Reserve</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3.1(pp)</w:t>
      </w:r>
      <w:r>
        <w:rPr>
          <w:rFonts w:ascii="Times New Roman;Times;Serif" w:hAnsi="Times New Roman;Times;Serif"/>
          <w:b w:val="false"/>
          <w:i w:val="false"/>
          <w:caps w:val="false"/>
          <w:smallCaps w:val="false"/>
          <w:sz w:val="20"/>
        </w:rPr>
        <w:t>.</w:t>
      </w:r>
    </w:p>
    <w:p>
      <w:pPr>
        <w:pStyle w:val="TextBody"/>
        <w:bidi w:val="0"/>
        <w:spacing w:before="0" w:after="0"/>
        <w:ind w:left="1077"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3.1(h)</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Hazardous Materials</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3.1(m)</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3.1(aa)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Initial Closing</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means all of the following in any jurisdiction throughout the world: (a) all inventions (whether patentable or unpatentable and whether or not reduced to practice), all improvements thereto, and all U.S. and foreign patents, patent applications, and patent disclosures, together with all reissuances, continuations, continuations-in-part, revisions, extensions, and reexaminations thereof, (b) all trademarks, service marks, brand names, certification marks, trade dress, logos, trade names, domain names, assumed names and corporate names, together with all colorable imitations thereof, and including all goodwill associated therewith, and all applications, registrations, and renewals in connection therewith, (c) all copyrights, and all applications, registrations, and renewals in connection therewith, (d) all trade secrets under applicable state laws and the common law and know-how (including formulas, techniques, technical data, designs, drawings, specifications, customer and supplier lists, pricing and cost information, and business and marketing plans and proposals), (e) all computer software (including source code, object code, diagrams, data and related documentation), and (f) all copies and tangible embodiments of the foregoing (in whatever form or medium).</w:t>
      </w:r>
    </w:p>
    <w:p>
      <w:pPr>
        <w:pStyle w:val="TextBody"/>
        <w:bidi w:val="0"/>
        <w:spacing w:before="0" w:after="0"/>
        <w:ind w:left="0" w:right="0" w:hanging="1"/>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Issuer Covered Person</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Issuer Covered Persons</w:t>
      </w:r>
      <w:r>
        <w:rPr>
          <w:rFonts w:ascii="Times New Roman;Times;Serif" w:hAnsi="Times New Roman;Times;Serif"/>
          <w:b w:val="false"/>
          <w:i w:val="false"/>
          <w:caps w:val="false"/>
          <w:smallCaps w:val="false"/>
          <w:sz w:val="20"/>
        </w:rPr>
        <w:t xml:space="preserve">” shall have the meanings ascribed to such terms in </w:t>
      </w:r>
      <w:r>
        <w:rPr>
          <w:rFonts w:ascii="Times New Roman;Times;Serif" w:hAnsi="Times New Roman;Times;Serif"/>
          <w:b w:val="false"/>
          <w:i w:val="false"/>
          <w:caps w:val="false"/>
          <w:smallCaps w:val="false"/>
          <w:sz w:val="20"/>
          <w:u w:val="single"/>
        </w:rPr>
        <w:t>Section 3.1(ll)</w:t>
      </w:r>
      <w:r>
        <w:rPr>
          <w:rFonts w:ascii="Times New Roman;Times;Serif" w:hAnsi="Times New Roman;Times;Serif"/>
          <w:b w:val="false"/>
          <w:i w:val="false"/>
          <w:caps w:val="false"/>
          <w:smallCaps w:val="false"/>
          <w:sz w:val="20"/>
        </w:rPr>
        <w:t>.</w:t>
      </w:r>
    </w:p>
    <w:p>
      <w:pPr>
        <w:pStyle w:val="TextBody"/>
        <w:bidi w:val="0"/>
        <w:spacing w:before="0" w:after="0"/>
        <w:ind w:left="362"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Laws</w:t>
      </w:r>
      <w:r>
        <w:rPr>
          <w:rFonts w:ascii="Times New Roman;Times;Serif" w:hAnsi="Times New Roman;Times;Serif"/>
          <w:b w:val="false"/>
          <w:i w:val="false"/>
          <w:caps w:val="false"/>
          <w:smallCaps w:val="false"/>
          <w:sz w:val="20"/>
        </w:rPr>
        <w:t>” means any U.S. federal, state, local, foreign or other laws, rules regulations, guidelines, orders, injunctions, building and other codes, ordinances, permits, licenses, authorizations, judgements, decrees of federal, state, local, foreign or other authorities, and all orders, writs, decrees and consents of any governmental or political subdivision or agency thereof, or any court of similar tribunal established by any such governmental or political subdivision or agency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Legend Removal Date</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4.1(c)</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Liens</w:t>
      </w:r>
      <w:r>
        <w:rPr>
          <w:rFonts w:ascii="Times New Roman;Times;Serif" w:hAnsi="Times New Roman;Times;Serif"/>
          <w:b w:val="false"/>
          <w:i w:val="false"/>
          <w:caps w:val="false"/>
          <w:smallCaps w:val="false"/>
          <w:sz w:val="20"/>
        </w:rPr>
        <w:t>” means a lien, charge, pledge, security interest, encumbrance, right of first refusal, preemptive right or other restriction.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Lock-Up Agreements</w:t>
      </w:r>
      <w:r>
        <w:rPr>
          <w:rFonts w:ascii="Times New Roman;Times;Serif" w:hAnsi="Times New Roman;Times;Serif"/>
          <w:b w:val="false"/>
          <w:i w:val="false"/>
          <w:caps w:val="false"/>
          <w:smallCaps w:val="false"/>
          <w:sz w:val="20"/>
        </w:rPr>
        <w:t>” means the lock-up agreements, dated as of the date hereof, by and among the Company and each of its directors, executive officers, holders of five percent (5%) or more of the Company’s outstanding Common Stock, and the other Persons set forth on Schedule B hereto, in the form of Exhibit E attached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3.1(b)</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Permits</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3.1(n)</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Money Laundering Laws</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3.1(qq)</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National Securities Exchange</w:t>
      </w:r>
      <w:r>
        <w:rPr>
          <w:rFonts w:ascii="Times New Roman;Times;Serif" w:hAnsi="Times New Roman;Times;Serif"/>
          <w:b w:val="false"/>
          <w:i w:val="false"/>
          <w:caps w:val="false"/>
          <w:smallCaps w:val="false"/>
          <w:sz w:val="20"/>
        </w:rPr>
        <w:t>” means any United States national securities exchange on which the securities of the Company are listed for trading, including, but not limited to, The Nasdaq Stock Market LLC, the NYSE American LLC, or the New York Stock Exchange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3.1(nn)</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Principal Market</w:t>
      </w:r>
      <w:r>
        <w:rPr>
          <w:rFonts w:ascii="Times New Roman;Times;Serif" w:hAnsi="Times New Roman;Times;Serif"/>
          <w:b w:val="false"/>
          <w:i w:val="false"/>
          <w:caps w:val="false"/>
          <w:smallCaps w:val="false"/>
          <w:sz w:val="20"/>
        </w:rPr>
        <w:t>” means primary market on which the Company’s Common Stock is then listed or quoted for trading, including, without limitation, The New York Stock Exchange, the NYSE American, the Nasdaq Global Select Market, the Nasdaq Global Market, the Nasdaq Capital Market, OTCPink, OTCQB, or OTCQX and any successor markets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Proceeding</w:t>
      </w:r>
      <w:r>
        <w:rPr>
          <w:rFonts w:ascii="Times New Roman;Times;Serif" w:hAnsi="Times New Roman;Times;Serif"/>
          <w:b w:val="false"/>
          <w:i w:val="false"/>
          <w:caps w:val="false"/>
          <w:smallCaps w:val="false"/>
          <w:sz w:val="20"/>
        </w:rPr>
        <w:t>” means an action, claim, suit, investigation or proceeding (including, without limitation, an informal investigation or partial proceeding, such as a deposition), whether pending or to the Company’s knowledge, threatened in writing against or affecting the Company, any Subsidiary or any of their respective properties before any court, arbitrator, governmental or administrative agency or regulatory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Public Information Failure</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4.2(b)</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Purchaser</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Purchasers</w:t>
      </w:r>
      <w:r>
        <w:rPr>
          <w:rFonts w:ascii="Times New Roman;Times;Serif" w:hAnsi="Times New Roman;Times;Serif"/>
          <w:b w:val="false"/>
          <w:i w:val="false"/>
          <w:caps w:val="false"/>
          <w:smallCaps w:val="false"/>
          <w:sz w:val="20"/>
        </w:rPr>
        <w:t>” shall have the meanings ascribed thereto in the preamble.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Purchaser Party</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4.8</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 shall have the meaning ascribed to such term in the recitals.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Registration Rights Agreement</w:t>
      </w:r>
      <w:r>
        <w:rPr>
          <w:rFonts w:ascii="Times New Roman;Times;Serif" w:hAnsi="Times New Roman;Times;Serif"/>
          <w:b w:val="false"/>
          <w:i w:val="false"/>
          <w:caps w:val="false"/>
          <w:smallCaps w:val="false"/>
          <w:sz w:val="20"/>
        </w:rPr>
        <w:t xml:space="preserve">” means the registration rights agreement,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shall have the meaning ascribed to such term in Section 1 of the Registration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Regulation FD</w:t>
      </w:r>
      <w:r>
        <w:rPr>
          <w:rFonts w:ascii="Times New Roman;Times;Serif" w:hAnsi="Times New Roman;Times;Serif"/>
          <w:b w:val="false"/>
          <w:i w:val="false"/>
          <w:caps w:val="false"/>
          <w:smallCaps w:val="false"/>
          <w:sz w:val="20"/>
        </w:rPr>
        <w:t>” means Regulation FD promulgated by the SEC pursuant to the Exchange Act, as such Regulation may be amended or interpreted from time to time, or any similar rule or regulation hereafter adopted by the SEC having substantially the same purpose and effect as such Regulation.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Reserved Amount</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4.9</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Required Approvals</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3.1(e)</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Rule 144</w:t>
      </w:r>
      <w:r>
        <w:rPr>
          <w:rFonts w:ascii="Times New Roman;Times;Serif" w:hAnsi="Times New Roman;Times;Serif"/>
          <w:b w:val="false"/>
          <w:i w:val="false"/>
          <w:caps w:val="false"/>
          <w:smallCaps w:val="false"/>
          <w:sz w:val="20"/>
        </w:rPr>
        <w:t>” means Rule 144 promulgated by the SEC pursuant to the Securities Act, as such Rule may be amended or interpreted from time to time, or any similar rule or regulation hereafter adopted by the SEC (or similar United States law) having substantially the same purpose and effect as such Rule.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 Reports</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3.1(h)</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and the rules and regulations promulgated thereunder.</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Pre-Funded Warrants</w:t>
      </w:r>
      <w:r>
        <w:rPr>
          <w:rFonts w:ascii="Times New Roman;Times;Serif" w:hAnsi="Times New Roman;Times;Serif"/>
          <w:b w:val="false"/>
          <w:i w:val="false"/>
          <w:caps w:val="false"/>
          <w:smallCaps w:val="false"/>
          <w:sz w:val="20"/>
        </w:rPr>
        <w:t>” shall have the meaning ascribed to such term in Section 2.1(a).</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shall have the meaning ascribed to such term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Stockholder Approval</w:t>
      </w:r>
      <w:r>
        <w:rPr>
          <w:rFonts w:ascii="Times New Roman;Times;Serif" w:hAnsi="Times New Roman;Times;Serif"/>
          <w:b w:val="false"/>
          <w:i w:val="false"/>
          <w:caps w:val="false"/>
          <w:smallCaps w:val="false"/>
          <w:sz w:val="20"/>
        </w:rPr>
        <w:t>” means such approval as may be required by the applicable rules and regulations of the Nasdaq Capital Market (or any successor entity) from the stockholders of the Company to permit the issuance of the Common Warrants.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shall have the meaning ascribed to such term in the recitals.</w:t>
      </w:r>
    </w:p>
    <w:p>
      <w:pPr>
        <w:pStyle w:val="TextBody"/>
        <w:bidi w:val="0"/>
        <w:spacing w:before="0" w:after="0"/>
        <w:ind w:left="0" w:right="0" w:hanging="2"/>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Short Sales</w:t>
      </w:r>
      <w:r>
        <w:rPr>
          <w:rFonts w:ascii="Times New Roman;Times;Serif" w:hAnsi="Times New Roman;Times;Serif"/>
          <w:b w:val="false"/>
          <w:i w:val="false"/>
          <w:caps w:val="false"/>
          <w:smallCaps w:val="false"/>
          <w:sz w:val="20"/>
        </w:rPr>
        <w:t>” means all “short sales” as defined in Rule 200 of Regulation SHO under the Exchange Act (but shall not be deemed to include the location and/or reservation of borrowable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Subscription Amount</w:t>
      </w:r>
      <w:r>
        <w:rPr>
          <w:rFonts w:ascii="Times New Roman;Times;Serif" w:hAnsi="Times New Roman;Times;Serif"/>
          <w:b w:val="false"/>
          <w:i w:val="false"/>
          <w:caps w:val="false"/>
          <w:smallCaps w:val="false"/>
          <w:sz w:val="20"/>
        </w:rPr>
        <w:t>” means, as to each Purchaser, the aggregate amount to be paid for the Shares (or Pre-Funded Warrants in lieu thereof) purchased hereunder as specified below such Purchaser’s name on the signature page of this Agreement and next to the heading.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with respect to any entity at any date, any direct or indirect corporation, limited or general partnership, limited liability company, trust, estate, association, joint venture or other business entity of which (a) more than 50% of (i) the outstanding capital stock having (in the absence of contingencies) ordinary voting power to elect a majority of the board of directors or other managing body of such entity, (ii) in the case of a partnership or limited liability company, the interest in the capital or profits of such partnership or limited liability company or (iii) in the case of a trust, estate, association, joint venture or other entity, the beneficial interest in such trust, estate, association or other entity business is, at the time of determination, owned or controlled directly or indirectly through one or more intermediaries, by such entity, or (b) is under the actual control of the Company.</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 day on which the Principal Market is open for trading.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Transaction Documents</w:t>
      </w:r>
      <w:r>
        <w:rPr>
          <w:rFonts w:ascii="Times New Roman;Times;Serif" w:hAnsi="Times New Roman;Times;Serif"/>
          <w:b w:val="false"/>
          <w:i w:val="false"/>
          <w:caps w:val="false"/>
          <w:smallCaps w:val="false"/>
          <w:sz w:val="20"/>
        </w:rPr>
        <w:t>” means this Agreement, the Pre-Funded Warrants, the Common Warrants, the Registration Rights Agreement, the Lock-Up Agreements, all schedules and exhibits thereto and hereto and any other documents or agreements executed in connection with the transactions contemplated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means Broadridge Corporate Issuer Solutions LLC, and any successor transfer agent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Principal Market, the daily volume weighted average price of the Common Stock for such date (or the nearest preceding date) on the Principal Market on which the Common Stock is then listed or quoted as reported by Bloomberg L.P. (based on a Trading Day from 9:30 a.m. (New York City time) to 4:02 p.m. (New York City time)) (or a similar organization or agency succeeding to its functions of reporting prices), (b) if no volume weighted average price of the Common Stock can be ascertained from the Principal Market, the average closing price of the Common Stock during the ten (10) Trading Days preceding such date, or (c) in all other cases, the fair market value of a share of Common Stock as determined by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AND SALE</w:t>
      </w:r>
    </w:p>
    <w:p>
      <w:pPr>
        <w:pStyle w:val="TextBody"/>
        <w:bidi w:val="0"/>
        <w:spacing w:before="0" w:after="0"/>
        <w:ind w:left="632"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Sale and Issuance of Shares.</w:t>
      </w:r>
    </w:p>
    <w:p>
      <w:pPr>
        <w:pStyle w:val="TextBody"/>
        <w:bidi w:val="0"/>
        <w:spacing w:before="0" w:after="0"/>
        <w:ind w:left="200" w:right="0" w:hanging="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[Intentionally Omitted].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the terms and conditions of this Agreement, each Purchaser agrees to purchase at the applicable Closing (as defined below), and the Company agrees to sell and issue to each Purchaser at the applicable Closing, or, with respect to issuance of Common Warrants, upon receipt of Stockholder Approval, (i) such number of Shares (or Pre-Funded Warrants in lieu thereof) as is set forth on the signature page hereto, and (ii) Common Warrants exercisable for a number of Common Warrant Shares equal to one hundred percent (100%) of the aggregate number of Shares and Pre-Funded Warrant Shares purchased by such Purchaser hereunder. In lieu of Shares that would otherwise result in any Purchaser’s beneficial ownership exceeding 4.99% of the number of shares of Common Stock outstanding immediately after giving effect to the issuance of Shares hereunder (the “</w:t>
      </w:r>
      <w:r>
        <w:rPr>
          <w:rFonts w:ascii="Times New Roman;Times;Serif" w:hAnsi="Times New Roman;Times;Serif"/>
          <w:b/>
          <w:i w:val="false"/>
          <w:caps w:val="false"/>
          <w:smallCaps w:val="false"/>
          <w:sz w:val="20"/>
        </w:rPr>
        <w:t>Beneficial Ownership Limitation</w:t>
      </w:r>
      <w:r>
        <w:rPr>
          <w:rFonts w:ascii="Times New Roman;Times;Serif" w:hAnsi="Times New Roman;Times;Serif"/>
          <w:b w:val="false"/>
          <w:i w:val="false"/>
          <w:caps w:val="false"/>
          <w:smallCaps w:val="false"/>
          <w:sz w:val="20"/>
        </w:rPr>
        <w:t>”), such Purchaser shall elect to receive Pre-Funded Warrants. The Shares, the Pre-Funded Warrants, the Common Warrants and the Warrant Shares issued or issuable to the Purchasers pursuant to this Agreement shall be referred to in this Agreement as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initial purchase and sale of the Securities shall take place remotely via the exchange of documents and signatures, at [*] p.m., on September 23, 2026, or at such other time and place as the Company and the Purchasers mutually agree upon, orally or in writing (which time and place are designated as the “</w:t>
      </w:r>
      <w:r>
        <w:rPr>
          <w:rFonts w:ascii="Times New Roman;Times;Serif" w:hAnsi="Times New Roman;Times;Serif"/>
          <w:b/>
          <w:i w:val="false"/>
          <w:caps w:val="false"/>
          <w:smallCaps w:val="false"/>
          <w:sz w:val="20"/>
        </w:rPr>
        <w:t>Initial Closing</w:t>
      </w:r>
      <w:r>
        <w:rPr>
          <w:rFonts w:ascii="Times New Roman;Times;Serif" w:hAnsi="Times New Roman;Times;Serif"/>
          <w:b w:val="false"/>
          <w:i w:val="false"/>
          <w:caps w:val="false"/>
          <w:smallCaps w:val="false"/>
          <w:sz w:val="20"/>
        </w:rPr>
        <w:t>”). In the event there is more than one closing, the term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shall apply to each such closing unless otherwise specified.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Deliveries</w:t>
      </w:r>
      <w:r>
        <w:rPr>
          <w:rFonts w:ascii="Times New Roman;Times;Serif" w:hAnsi="Times New Roman;Times;Serif"/>
          <w:b w:val="false"/>
          <w:i w:val="false"/>
          <w:caps w:val="false"/>
          <w:smallCaps w:val="false"/>
          <w:sz w:val="20"/>
        </w:rPr>
        <w:t>.</w:t>
      </w:r>
    </w:p>
    <w:p>
      <w:pPr>
        <w:pStyle w:val="TextBody"/>
        <w:bidi w:val="0"/>
        <w:spacing w:before="0" w:after="0"/>
        <w:ind w:left="1798" w:right="0" w:hanging="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the applicable Closing, the Company shall deliver or cause to be delivered to each Purchaser the following: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the Company;</w:t>
      </w:r>
    </w:p>
    <w:p>
      <w:pPr>
        <w:pStyle w:val="TextBody"/>
        <w:bidi w:val="0"/>
        <w:spacing w:before="0" w:after="0"/>
        <w:ind w:left="3239" w:right="0" w:hanging="7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Pre-Funded Warrants, if any, duly executed by the Company,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Company’s wire transfer instructions, on Company letterhead and executed by the Chief Executive Officer or Chief Financial Officer;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legal opinion from counsel to the Company, dated as of the Closing Date, addressed to the Purchasers and in form and substance reasonably satisfactory to the Purchasers, covering such matters as are customary in transactions of this nature, including the due authorization, execution and delivery of the Transaction Documents and the valid issuance of the Securities;</w:t>
      </w:r>
    </w:p>
    <w:p>
      <w:pPr>
        <w:pStyle w:val="TextBody"/>
        <w:bidi w:val="0"/>
        <w:spacing w:before="0" w:after="0"/>
        <w:ind w:left="1077"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 Officer’s Certificate of an executive officer of the Company, dated as of the Closing Date, certifying that (A) the representations and warranties of the Company in the Transaction Documents are true and correct as of such date (or as of an earlier date if so specified), and (B) the Company has performed all obligations required to be performed as of the Closing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 Certificate of the Secretary (or Assistant Secretary) of the Company, dated as of the Closing Date, certifying and attaching (A) a true, complete and correct copy of the Company’s Certificate of Incorporation, as amended and in effect on the Closing Date, (B) a true, complete and correct copy of the Company’s Bylaws, as amended and in effect on the Closing Date, (C) the resolutions of the Board of Directors authorizing the execution, delivery, and performance of the Transaction Documents and the issuance of the Securities, and (D) the incumbency and signatures of the officers of the Company executing the Transaction Documents;</w:t>
      </w:r>
    </w:p>
    <w:p>
      <w:pPr>
        <w:pStyle w:val="TextBody"/>
        <w:bidi w:val="0"/>
        <w:spacing w:before="0" w:after="0"/>
        <w:ind w:left="720" w:right="0" w:firstLine="1442"/>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 Certificate of the Chief Financial Officer of the Company, dated as of the Closing Date, certifying as to the Company’s cash and cash equivalents, indebtedness, and any material off-balance sheet or undisclosed liabilities as of the Closing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 Certificate of Good Standing of the Company issued by the Secretary of State of the State of Delaware, dated as of a recent date prior to the Closing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Shares, issued in book-entry form, duly credited to each Purchaser’s account at the Company’s transfer agent, free and clear of all liens and encumbrances, other than applicable securities law restrictions;</w:t>
      </w:r>
    </w:p>
    <w:p>
      <w:pPr>
        <w:pStyle w:val="TextBody"/>
        <w:bidi w:val="0"/>
        <w:spacing w:before="0" w:after="0"/>
        <w:ind w:left="72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Registration Rights Agreement, duly executed by the Company;</w:t>
      </w:r>
    </w:p>
    <w:p>
      <w:pPr>
        <w:pStyle w:val="TextBody"/>
        <w:bidi w:val="0"/>
        <w:spacing w:before="0" w:after="0"/>
        <w:ind w:left="400" w:right="0" w:hanging="7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 reservation letter from the Company and its transfer agent, confirming that a sufficient number of shares of Common Stock have been reserved for issuance upon exercise of the Pre-Funded Warrants and the Common Warrants;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 Lock-up Agreements each with a duration of six (6) months entered into by the Company’s (a) executive officers; (b) directors; (c) holders of five percent (5%) or more of the Company’s outstanding Common Stock; and (d) each Person set forth on Schedule B hereto substantially in the form attached hereto as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w:t>
      </w:r>
    </w:p>
    <w:p>
      <w:pPr>
        <w:pStyle w:val="TextBody"/>
        <w:bidi w:val="0"/>
        <w:spacing w:before="0" w:after="0"/>
        <w:ind w:left="720" w:right="0" w:firstLine="1442"/>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prior to the applicable Closing, each Purchaser shall deliver or cause to be delivered the following:</w:t>
      </w:r>
    </w:p>
    <w:p>
      <w:pPr>
        <w:pStyle w:val="TextBody"/>
        <w:bidi w:val="0"/>
        <w:spacing w:before="0" w:after="0"/>
        <w:ind w:left="1081" w:right="0" w:firstLine="7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the Company, this Agreement, duly executed by such Purchaser;</w:t>
      </w:r>
    </w:p>
    <w:p>
      <w:pPr>
        <w:pStyle w:val="TextBody"/>
        <w:bidi w:val="0"/>
        <w:spacing w:before="0" w:after="0"/>
        <w:ind w:left="3241" w:right="0" w:hanging="7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the Company, the Registration Rights Agreement, duly executed by such Purchaser;</w:t>
      </w:r>
    </w:p>
    <w:p>
      <w:pPr>
        <w:pStyle w:val="TextBody"/>
        <w:bidi w:val="0"/>
        <w:spacing w:before="0" w:after="0"/>
        <w:ind w:left="1081"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the Company, such Purchaser’s Subscription Amount, by wire transfer of immediately available funds in accordance with the wire instructions provided by the Company, to be held and disbursed in accordance with this Agreement; and</w:t>
      </w:r>
    </w:p>
    <w:p>
      <w:pPr>
        <w:pStyle w:val="TextBody"/>
        <w:bidi w:val="0"/>
        <w:spacing w:before="0" w:after="0"/>
        <w:ind w:left="1082"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the Company, such other information, certificates, or documents reasonably requested to consummate the transactions contemplated by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Promptly following receipt of Stockholder Approval, the Company shall issue and deliver to each Purchaser the respective Common Warrants to be issued to such Purchaser hereunder, duly executed by the Company, in the form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Closing Conditions</w:t>
      </w:r>
      <w:r>
        <w:rPr>
          <w:rFonts w:ascii="Times New Roman;Times;Serif" w:hAnsi="Times New Roman;Times;Serif"/>
          <w:b w:val="false"/>
          <w:i w:val="false"/>
          <w:caps w:val="false"/>
          <w:smallCaps w:val="false"/>
          <w:sz w:val="20"/>
        </w:rPr>
        <w:t>.</w:t>
      </w:r>
    </w:p>
    <w:p>
      <w:pPr>
        <w:pStyle w:val="TextBody"/>
        <w:bidi w:val="0"/>
        <w:spacing w:before="0" w:after="0"/>
        <w:ind w:left="200" w:right="0" w:hanging="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obligations of the Company hereunder in connection with each applicable Closing are subject to the following conditions being met: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accuracy in all material respects (or, to the extent representations or warranties are qualified by materiality or Material Adverse Effect, in all respects) on the applicable Closing Date of the representations and warranties of each Purchaser contained herein (unless as of a specific date therein in which case they shall be accurate as of such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each Purchaser required to be performed at or prior to the Closing Date shall have been performed in all material respects;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delivery by each Purchaser of the items set forth in </w:t>
      </w:r>
      <w:r>
        <w:rPr>
          <w:rFonts w:ascii="Times New Roman;Times;Serif" w:hAnsi="Times New Roman;Times;Serif"/>
          <w:b w:val="false"/>
          <w:i w:val="false"/>
          <w:caps w:val="false"/>
          <w:smallCaps w:val="false"/>
          <w:sz w:val="20"/>
          <w:u w:val="single"/>
        </w:rPr>
        <w:t>Section 2.3(b)</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respective obligations of the Purchasers hereunder in connection with the Closing are subject to the following conditions being met: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accuracy in all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p>
      <w:pPr>
        <w:pStyle w:val="TextBody"/>
        <w:bidi w:val="0"/>
        <w:spacing w:before="0" w:after="0"/>
        <w:ind w:left="1077"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the Company required to be performed at or prior to the Closing Date shall have been performed;</w:t>
      </w:r>
    </w:p>
    <w:p>
      <w:pPr>
        <w:pStyle w:val="TextBody"/>
        <w:bidi w:val="0"/>
        <w:spacing w:before="0" w:after="0"/>
        <w:ind w:left="1077"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delivery by the Company of the items set forth in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there shall have been no Material Adverse Effect with respect to the Company since the date hereof;</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from the date hereof to the Closing Date trading in the Common Stock shall not have been suspended by the SEC or the Company’s Principal Market, and, at any time prior to the Closing Date, trading in securities generally as reported by Bloomberg L.P. shall not have been suspended or limited, or minimum prices shall not have been established on securities whose trades are reported by such service, or on any Principal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REPRESENTATIONS AND WARRANTIES</w:t>
      </w:r>
    </w:p>
    <w:p>
      <w:pPr>
        <w:pStyle w:val="TextBody"/>
        <w:bidi w:val="0"/>
        <w:spacing w:before="0" w:after="0"/>
        <w:ind w:left="632"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xml:space="preserve">. The Company hereby represents and warrants to each Purchaser that, except as set forth on the Disclosure Schedule to this Agreement, which exceptions shall be deemed to be part of the representations and warranties made hereunder, the following representations are true and complete as of the date of the Initial Closing, except as otherwise indicated. The Disclosure Schedule shall be arranged in sections corresponding to the numbered and lettered sections contained in this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and the disclosures in any section of the Disclosure Schedule shall qualify other sections in this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only to the extent it is readily apparent from a reading of the disclosure that such disclosure is applicable to such other sections.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xml:space="preserve">. All of the direct and indirect Subsidiaries of the Company are set forth on </w:t>
      </w:r>
      <w:r>
        <w:rPr>
          <w:rFonts w:ascii="Times New Roman;Times;Serif" w:hAnsi="Times New Roman;Times;Serif"/>
          <w:b w:val="false"/>
          <w:i w:val="false"/>
          <w:caps w:val="false"/>
          <w:smallCaps w:val="false"/>
          <w:sz w:val="20"/>
          <w:u w:val="single"/>
        </w:rPr>
        <w:t>Schedule 3.1(a)</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3.1(a)</w:t>
      </w:r>
      <w:r>
        <w:rPr>
          <w:rFonts w:ascii="Times New Roman;Times;Serif" w:hAnsi="Times New Roman;Times;Serif"/>
          <w:b w:val="false"/>
          <w:i w:val="false"/>
          <w:caps w:val="false"/>
          <w:smallCaps w:val="false"/>
          <w:sz w:val="20"/>
        </w:rPr>
        <w:t>,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Charter,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provided, however, that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shall not include any event, occurrence, fact, condition or change, directly or indirectly, arising out of or attributable to the announcement, pendency or completion of the transactions contemplated by the Transaction Documents. No Proceeding has been instituted in any such jurisdiction revoking, limiting or curtailing or seeking to revoke, limit or curtail such power and authority or qualification.</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The Company has the requisite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shareholders in connection herewith or therewith other than in connection with the Required Approvals. Subject to obtaining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Schedule 3.1(d)</w:t>
      </w:r>
      <w:r>
        <w:rPr>
          <w:rFonts w:ascii="Times New Roman;Times;Serif" w:hAnsi="Times New Roman;Times;Serif"/>
          <w:b w:val="false"/>
          <w:i w:val="false"/>
          <w:caps w:val="false"/>
          <w:smallCaps w:val="false"/>
          <w:sz w:val="20"/>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subject to the Required Approvals, conflict with or violate any provision of the Company’s or any Subsidiary’s Charter, bylaws or other organizational or charter documents, or (ii) constitute a default (or an event that with notice or lapse of time or both would become a default) under, result in the creation of any Lien upon any of the properties or assets of the Company or any Subsidiary, or give to others any rights of termination, amendment,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Filings, Consents and Approvals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3.1(e)</w:t>
      </w:r>
      <w:r>
        <w:rPr>
          <w:rFonts w:ascii="Times New Roman;Times;Serif" w:hAnsi="Times New Roman;Times;Serif"/>
          <w:b w:val="false"/>
          <w:i w:val="false"/>
          <w:caps w:val="false"/>
          <w:smallCaps w:val="false"/>
          <w:sz w:val="20"/>
        </w:rPr>
        <w:t xml:space="preserve">,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of this Agreement, (ii) application(s) to each applicable Principal Market for the listing of the Shares and the Warrant Shares for trading thereon in the time and manner required thereby, (iii) Stockholder Approval, and (iv) such filings as are required to be made under applicable state or federal securities laws (collectively, the “</w:t>
      </w:r>
      <w:r>
        <w:rPr>
          <w:rFonts w:ascii="Times New Roman;Times;Serif" w:hAnsi="Times New Roman;Times;Serif"/>
          <w:b/>
          <w:i w:val="false"/>
          <w:caps w:val="false"/>
          <w:smallCaps w:val="false"/>
          <w:sz w:val="20"/>
        </w:rPr>
        <w:t>Required Approvals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Issuance of the Securities</w:t>
      </w:r>
      <w:r>
        <w:rPr>
          <w:rFonts w:ascii="Times New Roman;Times;Serif" w:hAnsi="Times New Roman;Times;Serif"/>
          <w:b w:val="false"/>
          <w:i w:val="false"/>
          <w:caps w:val="false"/>
          <w:smallCaps w:val="false"/>
          <w:sz w:val="20"/>
        </w:rPr>
        <w:t xml:space="preserve">. The Securities are duly authorized and, when issued and paid for in accordance with the applicable Transaction Documents, will be duly and validly issued, fully paid and nonassessable, free and clear of all Liens imposed by the Company. The Warrant Shares, when issued upon exercise of the Pre-Funded Warrants and the Common Warrants in accordance with the terms thereof will be validly issued, fully paid and nonassessable, free and clear of all Liens imposed by the Company. The Company shall reserve from its duly authorized capital stock a number of shares of Common Stock issuable pursuant to the exercise of the Pre-Funded Warrants and the Common Warrants equal to the amount set forth in </w:t>
      </w:r>
      <w:r>
        <w:rPr>
          <w:rFonts w:ascii="Times New Roman;Times;Serif" w:hAnsi="Times New Roman;Times;Serif"/>
          <w:b w:val="false"/>
          <w:i w:val="false"/>
          <w:caps w:val="false"/>
          <w:smallCaps w:val="false"/>
          <w:sz w:val="20"/>
          <w:u w:val="single"/>
        </w:rPr>
        <w:t>Section 4.9</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xml:space="preserve">. The capitalization of the Company as of the date hereof is as set forth on </w:t>
      </w:r>
      <w:r>
        <w:rPr>
          <w:rFonts w:ascii="Times New Roman;Times;Serif" w:hAnsi="Times New Roman;Times;Serif"/>
          <w:b w:val="false"/>
          <w:i w:val="false"/>
          <w:caps w:val="false"/>
          <w:smallCaps w:val="false"/>
          <w:sz w:val="20"/>
          <w:u w:val="single"/>
        </w:rPr>
        <w:t>Schedule 3.1(g)</w:t>
      </w:r>
      <w:r>
        <w:rPr>
          <w:rFonts w:ascii="Times New Roman;Times;Serif" w:hAnsi="Times New Roman;Times;Serif"/>
          <w:b w:val="false"/>
          <w:i w:val="false"/>
          <w:caps w:val="false"/>
          <w:smallCaps w:val="false"/>
          <w:sz w:val="20"/>
        </w:rPr>
        <w:t xml:space="preserve">, which </w:t>
      </w:r>
      <w:r>
        <w:rPr>
          <w:rFonts w:ascii="Times New Roman;Times;Serif" w:hAnsi="Times New Roman;Times;Serif"/>
          <w:b w:val="false"/>
          <w:i w:val="false"/>
          <w:caps w:val="false"/>
          <w:smallCaps w:val="false"/>
          <w:sz w:val="20"/>
          <w:u w:val="single"/>
        </w:rPr>
        <w:t>Schedule 3.1(g)</w:t>
      </w:r>
      <w:r>
        <w:rPr>
          <w:rFonts w:ascii="Times New Roman;Times;Serif" w:hAnsi="Times New Roman;Times;Serif"/>
          <w:b w:val="false"/>
          <w:i w:val="false"/>
          <w:caps w:val="false"/>
          <w:smallCaps w:val="false"/>
          <w:sz w:val="20"/>
        </w:rPr>
        <w:t xml:space="preserve"> shall also include the number of shares of Common Stock owned beneficially, and of record, by Affiliates of the Company as of the date hereof. The Company has not issued any capital stock since its most recently filed periodic report under the Exchange Act, other than as set forth on </w:t>
      </w:r>
      <w:r>
        <w:rPr>
          <w:rFonts w:ascii="Times New Roman;Times;Serif" w:hAnsi="Times New Roman;Times;Serif"/>
          <w:b w:val="false"/>
          <w:i w:val="false"/>
          <w:caps w:val="false"/>
          <w:smallCaps w:val="false"/>
          <w:sz w:val="20"/>
          <w:u w:val="single"/>
        </w:rPr>
        <w:t>Schedule 3.1(g)</w:t>
      </w:r>
      <w:r>
        <w:rPr>
          <w:rFonts w:ascii="Times New Roman;Times;Serif" w:hAnsi="Times New Roman;Times;Serif"/>
          <w:b w:val="false"/>
          <w:i w:val="false"/>
          <w:caps w:val="false"/>
          <w:smallCaps w:val="false"/>
          <w:sz w:val="20"/>
        </w:rPr>
        <w:t xml:space="preserve"> other than pursuant to the exercise of employee stock awards under the Company’s equity incentive plans, the issuance of shares of Common Stock to employees pursuant to the Company’s employee stock purchase plans, the issuance of shares of Common Stock or Common Stock Equivalents pursuant to agreements outstanding as of the date of the most recently filed periodic report under the Exchange Act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set forth on </w:t>
      </w:r>
      <w:r>
        <w:rPr>
          <w:rFonts w:ascii="Times New Roman;Times;Serif" w:hAnsi="Times New Roman;Times;Serif"/>
          <w:b w:val="false"/>
          <w:i w:val="false"/>
          <w:caps w:val="false"/>
          <w:smallCaps w:val="false"/>
          <w:sz w:val="20"/>
          <w:u w:val="single"/>
        </w:rPr>
        <w:t>Schedule 3.1(g)</w:t>
      </w:r>
      <w:r>
        <w:rPr>
          <w:rFonts w:ascii="Times New Roman;Times;Serif" w:hAnsi="Times New Roman;Times;Serif"/>
          <w:b w:val="false"/>
          <w:i w:val="false"/>
          <w:caps w:val="false"/>
          <w:smallCaps w:val="false"/>
          <w:sz w:val="20"/>
        </w:rPr>
        <w:t>,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and will not result in a right of any holder of Company securities to adjust the exercise, conversion, exchange or reset price under any of such securities.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Except for Stockholder Approval and any other required approvals, no further approval or authorization of any stockholder, the Board of Directors or others is required for the issuance and sale of the Securities. There are no shareholders agreements, voting agreements or other similar agreements with respect to the Company’s capital stock to which the Company is a party or, to the knowledge of the Company, between or among any of the Company’s shareholders.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SEC Reports; Financial Statements</w:t>
      </w:r>
      <w:r>
        <w:rPr>
          <w:rFonts w:ascii="Times New Roman;Times;Serif" w:hAnsi="Times New Roman;Times;Serif"/>
          <w:b w:val="false"/>
          <w:i w:val="false"/>
          <w:caps w:val="false"/>
          <w:smallCaps w:val="false"/>
          <w:sz w:val="20"/>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Times;Serif" w:hAnsi="Times New Roman;Times;Serif"/>
          <w:b/>
          <w:i w:val="false"/>
          <w:caps w:val="false"/>
          <w:smallCaps w:val="false"/>
          <w:sz w:val="20"/>
        </w:rPr>
        <w:t>SEC Reports</w:t>
      </w:r>
      <w:r>
        <w:rPr>
          <w:rFonts w:ascii="Times New Roman;Times;Serif" w:hAnsi="Times New Roman;Times;Serif"/>
          <w:b w:val="false"/>
          <w:i w:val="false"/>
          <w:caps w:val="false"/>
          <w:smallCaps w:val="false"/>
          <w:sz w:val="20"/>
        </w:rPr>
        <w:t>”).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SEC with respect thereto as in effect at the time of filing. Such financial statements have been prepared in accordance with United States generally accepted accounting principles applied on a consistent basis during the periods involved (“</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year-end audit adjustments.</w:t>
      </w:r>
    </w:p>
    <w:p>
      <w:pPr>
        <w:pStyle w:val="TextBody"/>
        <w:bidi w:val="0"/>
        <w:spacing w:before="0" w:after="0"/>
        <w:ind w:left="720" w:right="0" w:firstLine="1"/>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Material Changes; Undisclosed Events, Liabilities or Developments</w:t>
      </w:r>
      <w:r>
        <w:rPr>
          <w:rFonts w:ascii="Times New Roman;Times;Serif" w:hAnsi="Times New Roman;Times;Serif"/>
          <w:b w:val="false"/>
          <w:i w:val="false"/>
          <w:caps w:val="false"/>
          <w:smallCaps w:val="false"/>
          <w:sz w:val="20"/>
        </w:rPr>
        <w:t xml:space="preserve">. Other than as set forth on </w:t>
      </w:r>
      <w:r>
        <w:rPr>
          <w:rFonts w:ascii="Times New Roman;Times;Serif" w:hAnsi="Times New Roman;Times;Serif"/>
          <w:b w:val="false"/>
          <w:i w:val="false"/>
          <w:caps w:val="false"/>
          <w:smallCaps w:val="false"/>
          <w:sz w:val="20"/>
          <w:u w:val="single"/>
        </w:rPr>
        <w:t>Schedule 3.1(i)</w:t>
      </w:r>
      <w:r>
        <w:rPr>
          <w:rFonts w:ascii="Times New Roman;Times;Serif" w:hAnsi="Times New Roman;Times;Serif"/>
          <w:b w:val="false"/>
          <w:i w:val="false"/>
          <w:caps w:val="false"/>
          <w:smallCaps w:val="false"/>
          <w:sz w:val="20"/>
        </w:rPr>
        <w:t xml:space="preserve"> since the date of the latest audited financial statements included within the SEC Reports, except as specifically disclosed in a subsequent SEC Report filed prior to the date hereof,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SEC, (iii) the Company has not altered its method of accounting, (iv) the Company has not declared or made any dividend or distribution of cash or other property to its shareholders or purchased, redeemed or made any agreements to purchase or redeem any shares of its capital stock and (v) the Company has not issued any equity securities to any officer, director or Affiliate, except pursuant to existing Company equity incentive plans. The Company does not have pending before the SEC any request for confidential treatment of information. Except for the issuance of the Securities contemplated by this Agreement or as set forth on </w:t>
      </w:r>
      <w:r>
        <w:rPr>
          <w:rFonts w:ascii="Times New Roman;Times;Serif" w:hAnsi="Times New Roman;Times;Serif"/>
          <w:b w:val="false"/>
          <w:i w:val="false"/>
          <w:caps w:val="false"/>
          <w:smallCaps w:val="false"/>
          <w:sz w:val="20"/>
          <w:u w:val="single"/>
        </w:rPr>
        <w:t>Schedule 3.1(i)</w:t>
      </w:r>
      <w:r>
        <w:rPr>
          <w:rFonts w:ascii="Times New Roman;Times;Serif" w:hAnsi="Times New Roman;Times;Serif"/>
          <w:b w:val="false"/>
          <w:i w:val="false"/>
          <w:caps w:val="false"/>
          <w:smallCaps w:val="false"/>
          <w:sz w:val="20"/>
        </w:rPr>
        <w: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Trading Day prior to the date that this representation is made.</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Except as disclosed in the SEC Reports</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there is no action, suit, notice of violation, proceeding or investigation, inquiry or other similar proceeding of any federal or state governmental authority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Times;Serif" w:hAnsi="Times New Roman;Times;Serif"/>
          <w:b/>
          <w:i w:val="false"/>
          <w:caps w:val="false"/>
          <w:smallCaps w:val="false"/>
          <w:sz w:val="20"/>
        </w:rPr>
        <w:t>Action</w:t>
      </w:r>
      <w:r>
        <w:rPr>
          <w:rFonts w:ascii="Times New Roman;Times;Serif" w:hAnsi="Times New Roman;Times;Serif"/>
          <w:b w:val="false"/>
          <w:i w:val="false"/>
          <w:caps w:val="false"/>
          <w:smallCaps w:val="false"/>
          <w:sz w:val="20"/>
        </w:rPr>
        <w:t xml:space="preserve">”) which (i) adversely affects or challenges the legality, validity or enforceability of any of the Transaction Documents or the issuance of the Securities or (ii) could, if there were an unfavorable decision, have or reasonably be expected to result in a Material Adverse Effect. The Company has no reason to believe that an Action will be filed against it in the future. Except as set forth in </w:t>
      </w:r>
      <w:r>
        <w:rPr>
          <w:rFonts w:ascii="Times New Roman;Times;Serif" w:hAnsi="Times New Roman;Times;Serif"/>
          <w:b w:val="false"/>
          <w:i w:val="false"/>
          <w:caps w:val="false"/>
          <w:smallCaps w:val="false"/>
          <w:sz w:val="20"/>
          <w:u w:val="single"/>
        </w:rPr>
        <w:t>the SEC Reports</w:t>
      </w:r>
      <w:r>
        <w:rPr>
          <w:rFonts w:ascii="Times New Roman;Times;Serif" w:hAnsi="Times New Roman;Times;Serif"/>
          <w:b w:val="false"/>
          <w:i w:val="false"/>
          <w:caps w:val="false"/>
          <w:smallCaps w:val="false"/>
          <w:sz w:val="20"/>
        </w:rPr>
        <w: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SEC involving the Company or any current or former director or officer of the Company. The SEC has not issued any stop order or other order suspending the effectiveness of any registration statement filed by the Company or any Subsidiary under the Exchange Act or the Securities Act, and the Company has no reason to believe it will do so in the future.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Labor Relations</w:t>
      </w:r>
      <w:r>
        <w:rPr>
          <w:rFonts w:ascii="Times New Roman;Times;Serif" w:hAnsi="Times New Roman;Times;Serif"/>
          <w:b w:val="false"/>
          <w:i w:val="false"/>
          <w:caps w:val="false"/>
          <w:smallCaps w:val="false"/>
          <w:sz w:val="20"/>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effort is underway to unionize or organize the employees of the Company or any Subsidiary.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applicable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 There is no workmen’s compensation liability matter, employment-related charge, complaint, grievance, investigation, inquiry or obligation of any kind pending, or to the Company’s knowledge, threatened, relating to an alleged violation or breach by the Company or its Subsidiaries of any law, regulation or contract that could, individually or in the aggregate, reasonably be expected to have a Material Adverse Effect. The Company has no reason to believe that any individual may commence an Action or file a claim with any governmental authority against the Company alleging sexual harassment or any type of discrimination or violation of any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3.1(l)</w:t>
      </w:r>
      <w:r>
        <w:rPr>
          <w:rFonts w:ascii="Times New Roman;Times;Serif" w:hAnsi="Times New Roman;Times;Serif"/>
          <w:b w:val="false"/>
          <w:i w:val="false"/>
          <w:caps w:val="false"/>
          <w:smallCaps w:val="false"/>
          <w:sz w:val="20"/>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and regulations relating to taxes, healthcare laws, anti-kickback laws, securities, environmental protection, occupational health and safety, product quality and safety, transportation, and employment and labor matters, except in each case as could not have or reasonably be expected to result in a Material Adverse Effect.</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Times;Serif" w:hAnsi="Times New Roman;Times;Serif"/>
          <w:b/>
          <w:i w:val="false"/>
          <w:caps w:val="false"/>
          <w:smallCaps w:val="false"/>
          <w:sz w:val="20"/>
        </w:rPr>
        <w:t>Hazardous Materials</w:t>
      </w:r>
      <w:r>
        <w:rPr>
          <w:rFonts w:ascii="Times New Roman;Times;Serif" w:hAnsi="Times New Roman;Times;Serif"/>
          <w:b w:val="false"/>
          <w:i w:val="false"/>
          <w:caps w:val="false"/>
          <w:smallCaps w:val="false"/>
          <w:sz w:val="20"/>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(ii) have received all permits licenses or other approvals required of them under applicable Environmental Laws to conduct their respective businesses; and (iii) are in compliance with all terms and conditions of any such permit, license or approval except in each case of clause (i), (ii) and (iii), the failure to so comply could be reasonably expected to have, individually or in the aggregate, a Material Adverse Effect.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Regulatory Permits</w:t>
      </w:r>
      <w:r>
        <w:rPr>
          <w:rFonts w:ascii="Times New Roman;Times;Serif" w:hAnsi="Times New Roman;Times;Serif"/>
          <w:b w:val="false"/>
          <w:i w:val="false"/>
          <w:caps w:val="false"/>
          <w:smallCaps w:val="false"/>
          <w:sz w:val="20"/>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Times;Serif" w:hAnsi="Times New Roman;Times;Serif"/>
          <w:b/>
          <w:i w:val="false"/>
          <w:caps w:val="false"/>
          <w:smallCaps w:val="false"/>
          <w:sz w:val="20"/>
        </w:rPr>
        <w:t>Material Permits</w:t>
      </w:r>
      <w:r>
        <w:rPr>
          <w:rFonts w:ascii="Times New Roman;Times;Serif" w:hAnsi="Times New Roman;Times;Serif"/>
          <w:b w:val="false"/>
          <w:i w:val="false"/>
          <w:caps w:val="false"/>
          <w:smallCaps w:val="false"/>
          <w:sz w:val="20"/>
        </w:rPr>
        <w:t>”), and neither the Company nor any Subsidiary has received any notice of proceedings relating to the revocation or modification of any Material Permit.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Title to Assets</w:t>
      </w:r>
      <w:r>
        <w:rPr>
          <w:rFonts w:ascii="Times New Roman;Times;Serif" w:hAnsi="Times New Roman;Times;Serif"/>
          <w:b w:val="false"/>
          <w:i w:val="false"/>
          <w:caps w:val="false"/>
          <w:smallCaps w:val="false"/>
          <w:sz w:val="20"/>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do not materially affect the value of such property,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except where the failure to so comply would not be reasonably expected to have, individually or in the aggregate, a Material Adverse Effect.</w:t>
      </w:r>
    </w:p>
    <w:p>
      <w:pPr>
        <w:pStyle w:val="TextBody"/>
        <w:bidi w:val="0"/>
        <w:spacing w:before="0" w:after="0"/>
        <w:ind w:left="1074" w:right="0" w:firstLine="724"/>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2514" w:right="0" w:hanging="7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Except as set forth in </w:t>
      </w:r>
      <w:r>
        <w:rPr>
          <w:rFonts w:ascii="Times New Roman;Times;Serif" w:hAnsi="Times New Roman;Times;Serif"/>
          <w:b w:val="false"/>
          <w:i w:val="false"/>
          <w:caps w:val="false"/>
          <w:smallCaps w:val="false"/>
          <w:sz w:val="20"/>
          <w:u w:val="single"/>
        </w:rPr>
        <w:t>Schedule 3.1(p)</w:t>
      </w:r>
      <w:r>
        <w:rPr>
          <w:rFonts w:ascii="Times New Roman;Times;Serif" w:hAnsi="Times New Roman;Times;Serif"/>
          <w:b w:val="false"/>
          <w:i w:val="false"/>
          <w:caps w:val="false"/>
          <w:smallCaps w:val="false"/>
          <w:sz w:val="20"/>
        </w:rPr>
        <w:t>, the Company owns or possesses or has the right to use pursuant to a valid and enforceable written license, sublicense, agreement, or permission all Intellectual Property necessary for the operation of the business of the Company as presently conducted, except in each case as could not have or reasonably be expected to result in a Material Adverse Effect.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has no knowledge that the Intellectual Property interferes with, infringe upon, misappropriate, or otherwise come into conflict with, any Intellectual Property rights of third parties, and the Company has no knowledge that facts exist which indicate a likelihood of the foregoing. The Company has not received any charge, complaint, claim, demand, or notice alleging any such interference, infringement, misappropriation, or conflict (including any claim that the Company must license or refrain from using any Intellectual Property rights of any third party). To the knowledge of the Company, all rights to its Intellectual Property are enforceable and no third party has interfered with, infringed upon, misappropriated, or otherwise come into conflict with, any Intellectual Property rights of the Company, except in each case as could not have or reasonably be expected to result in a Material Adverse Effect.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pStyle w:val="TextBody"/>
        <w:bidi w:val="0"/>
        <w:spacing w:before="0" w:after="0"/>
        <w:ind w:left="72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None of, and neither the Company nor any Subsidiary has received a notice (written or otherwise) that any of, the Intellectual Property Rights have expired, terminated or been abandoned, or is expected to expire or terminate or be abandoned, within two (2) years from the date of this Agreement, except where such expiration, termination or abandonment would not reasonably be expected to, individually or in the aggregate, have a Material Adverse Effect.</w:t>
      </w:r>
    </w:p>
    <w:p>
      <w:pPr>
        <w:pStyle w:val="TextBody"/>
        <w:bidi w:val="0"/>
        <w:spacing w:before="0" w:after="0"/>
        <w:ind w:left="1077" w:right="0" w:firstLine="1442"/>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the Subsidiaries are insured by insurers of recognized financial responsibility against such losses and risks and in such amounts as are prudent and customary in the businesses in which the Company and the Subsidiaries are engaged.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pStyle w:val="TextBody"/>
        <w:bidi w:val="0"/>
        <w:spacing w:before="0" w:after="0"/>
        <w:ind w:left="720" w:right="0" w:firstLine="717"/>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Transactions With Affiliates and Employees</w:t>
      </w:r>
      <w:r>
        <w:rPr>
          <w:rFonts w:ascii="Times New Roman;Times;Serif" w:hAnsi="Times New Roman;Times;Serif"/>
          <w:b w:val="false"/>
          <w:i w:val="false"/>
          <w:caps w:val="false"/>
          <w:smallCaps w:val="false"/>
          <w:sz w:val="20"/>
        </w:rPr>
        <w:t xml:space="preserve">. Except as disclosed in </w:t>
      </w:r>
      <w:r>
        <w:rPr>
          <w:rFonts w:ascii="Times New Roman;Times;Serif" w:hAnsi="Times New Roman;Times;Serif"/>
          <w:b w:val="false"/>
          <w:i w:val="false"/>
          <w:caps w:val="false"/>
          <w:smallCaps w:val="false"/>
          <w:sz w:val="20"/>
          <w:u w:val="single"/>
        </w:rPr>
        <w:t>Schedule 3.1(r)</w:t>
      </w:r>
      <w:r>
        <w:rPr>
          <w:rFonts w:ascii="Times New Roman;Times;Serif" w:hAnsi="Times New Roman;Times;Serif"/>
          <w:b w:val="false"/>
          <w:i w:val="false"/>
          <w:caps w:val="false"/>
          <w:smallCaps w:val="false"/>
          <w:sz w:val="20"/>
        </w:rPr>
        <w:t>, during the past three fiscal years and the subsequent interim period through the date of this Agreement, none of the officers, directors or Affiliates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Affiliate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award agreements under any equity incentive plan of the Company.</w:t>
      </w:r>
    </w:p>
    <w:p>
      <w:pPr>
        <w:pStyle w:val="TextBody"/>
        <w:bidi w:val="0"/>
        <w:spacing w:before="0" w:after="0"/>
        <w:ind w:left="1077" w:right="0" w:firstLine="722"/>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Sarbanes-Oxley; Internal Accounting Controls</w:t>
      </w:r>
      <w:r>
        <w:rPr>
          <w:rFonts w:ascii="Times New Roman;Times;Serif" w:hAnsi="Times New Roman;Times;Serif"/>
          <w:b w:val="false"/>
          <w:i w:val="false"/>
          <w:caps w:val="false"/>
          <w:smallCaps w:val="false"/>
          <w:sz w:val="20"/>
        </w:rPr>
        <w:t xml:space="preserve">. Except as disclosed in </w:t>
      </w:r>
      <w:r>
        <w:rPr>
          <w:rFonts w:ascii="Times New Roman;Times;Serif" w:hAnsi="Times New Roman;Times;Serif"/>
          <w:b w:val="false"/>
          <w:i w:val="false"/>
          <w:caps w:val="false"/>
          <w:smallCaps w:val="false"/>
          <w:sz w:val="20"/>
          <w:u w:val="single"/>
        </w:rPr>
        <w:t>Schedule 3.1(s)</w:t>
      </w:r>
      <w:r>
        <w:rPr>
          <w:rFonts w:ascii="Times New Roman;Times;Serif" w:hAnsi="Times New Roman;Times;Serif"/>
          <w:b w:val="false"/>
          <w:i w:val="false"/>
          <w:caps w:val="false"/>
          <w:smallCaps w:val="false"/>
          <w:sz w:val="20"/>
        </w:rPr>
        <w:t>, the Company and the Subsidiaries are in compliance with any and all applicable requirements of the Sarbanes-Oxley Act of 2002 that are effective as of the date hereof, and any and all applicable rules and regulations promulgated by the SEC thereunder that are effective as of the date hereof and as of the applicable Closing. The Company and the Subsidiaries maintain a system of internal accounting controls as set forth in the SEC Reports.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Times;Serif" w:hAnsi="Times New Roman;Times;Serif"/>
          <w:b/>
          <w:i w:val="false"/>
          <w:caps w:val="false"/>
          <w:smallCaps w:val="false"/>
          <w:sz w:val="20"/>
        </w:rPr>
        <w:t>Evaluation Date</w:t>
      </w:r>
      <w:r>
        <w:rPr>
          <w:rFonts w:ascii="Times New Roman;Times;Serif" w:hAnsi="Times New Roman;Times;Serif"/>
          <w:b w:val="false"/>
          <w:i w:val="false"/>
          <w:caps w:val="false"/>
          <w:smallCaps w:val="false"/>
          <w:sz w:val="20"/>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Certain Fees</w:t>
      </w:r>
      <w:r>
        <w:rPr>
          <w:rFonts w:ascii="Times New Roman;Times;Serif" w:hAnsi="Times New Roman;Times;Serif"/>
          <w:b w:val="false"/>
          <w:i w:val="false"/>
          <w:caps w:val="false"/>
          <w:smallCaps w:val="false"/>
          <w:sz w:val="20"/>
        </w:rPr>
        <w:t xml:space="preserve">. Other than as set forth on </w:t>
      </w:r>
      <w:r>
        <w:rPr>
          <w:rFonts w:ascii="Times New Roman;Times;Serif" w:hAnsi="Times New Roman;Times;Serif"/>
          <w:b w:val="false"/>
          <w:i w:val="false"/>
          <w:caps w:val="false"/>
          <w:smallCaps w:val="false"/>
          <w:sz w:val="20"/>
          <w:u w:val="single"/>
        </w:rPr>
        <w:t>Schedule 3.1(t)</w:t>
      </w:r>
      <w:r>
        <w:rPr>
          <w:rFonts w:ascii="Times New Roman;Times;Serif" w:hAnsi="Times New Roman;Times;Serif"/>
          <w:b w:val="false"/>
          <w:i w:val="false"/>
          <w:caps w:val="false"/>
          <w:smallCaps w:val="false"/>
          <w:sz w:val="20"/>
        </w:rPr>
        <w:t xml:space="preserve">,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w:t>
      </w:r>
      <w:r>
        <w:rPr>
          <w:rFonts w:ascii="Times New Roman;Times;Serif" w:hAnsi="Times New Roman;Times;Serif"/>
          <w:b w:val="false"/>
          <w:i w:val="false"/>
          <w:caps w:val="false"/>
          <w:smallCaps w:val="false"/>
          <w:sz w:val="20"/>
          <w:u w:val="single"/>
        </w:rPr>
        <w:t>Section 3.1(t)</w:t>
      </w:r>
      <w:r>
        <w:rPr>
          <w:rFonts w:ascii="Times New Roman;Times;Serif" w:hAnsi="Times New Roman;Times;Serif"/>
          <w:b w:val="false"/>
          <w:i w:val="false"/>
          <w:caps w:val="false"/>
          <w:smallCaps w:val="false"/>
          <w:sz w:val="20"/>
        </w:rPr>
        <w:t xml:space="preserve"> that may be due in connection with the transactions contemplated by the Transaction Documents.</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val="false"/>
          <w:caps w:val="false"/>
          <w:smallCaps w:val="false"/>
          <w:sz w:val="20"/>
          <w:u w:val="single"/>
        </w:rPr>
        <w:t>Investment Company</w:t>
      </w:r>
      <w:r>
        <w:rPr>
          <w:rFonts w:ascii="Times New Roman;Times;Serif" w:hAnsi="Times New Roman;Times;Serif"/>
          <w:b w:val="false"/>
          <w:i w:val="false"/>
          <w:caps w:val="false"/>
          <w:smallCaps w:val="false"/>
          <w:sz w:val="20"/>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Registration Rights</w:t>
      </w:r>
      <w:r>
        <w:rPr>
          <w:rFonts w:ascii="Times New Roman;Times;Serif" w:hAnsi="Times New Roman;Times;Serif"/>
          <w:b w:val="false"/>
          <w:i w:val="false"/>
          <w:caps w:val="false"/>
          <w:smallCaps w:val="false"/>
          <w:sz w:val="20"/>
        </w:rPr>
        <w:t>. Other than as required pursuant to this Agreement and as set forth in the SEC Reports, no Person has any right to cause the Company or any Subsidiary to effect the registration under the Securities Act of any securities of the Company or any Subsidiary. The Company shall not file any other resale registration statement prior to filing the registration statement required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w:t>
      </w:r>
      <w:r>
        <w:rPr>
          <w:rFonts w:ascii="Times New Roman;Times;Serif" w:hAnsi="Times New Roman;Times;Serif"/>
          <w:b w:val="false"/>
          <w:i w:val="false"/>
          <w:caps w:val="false"/>
          <w:smallCaps w:val="false"/>
          <w:sz w:val="20"/>
          <w:u w:val="single"/>
        </w:rPr>
        <w:t>Listing and Maintenance Requirements</w:t>
      </w:r>
      <w:r>
        <w:rPr>
          <w:rFonts w:ascii="Times New Roman;Times;Serif" w:hAnsi="Times New Roman;Times;Serif"/>
          <w:b w:val="false"/>
          <w:i w:val="false"/>
          <w:caps w:val="false"/>
          <w:smallCaps w:val="false"/>
          <w:sz w:val="20"/>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SEC is contemplating terminating such registration. Except as otherwise disclosed in the SEC Reports to date, the Company has not, in the 12 months preceding the date hereof, received notice from any Principal Market on which the Common Stock is or has been listed or quoted to the effect that the Company is not in compliance with the listing or maintenance requirements of such Principal Market. The Common Stock is currently eligible for electronic transfer through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or another established clearing corporation and the Company is current in payment of the fees to the DTC (or such other established clearing corporation) in connection with such electronic transfer. The Company is not subject to any “chill” issued by the DTC.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val="false"/>
          <w:caps w:val="false"/>
          <w:smallCaps w:val="false"/>
          <w:sz w:val="20"/>
          <w:u w:val="single"/>
        </w:rPr>
        <w:t>Application of Takeover Protections</w:t>
      </w:r>
      <w:r>
        <w:rPr>
          <w:rFonts w:ascii="Times New Roman;Times;Serif" w:hAnsi="Times New Roman;Times;Serif"/>
          <w:b w:val="false"/>
          <w:i w:val="false"/>
          <w:caps w:val="false"/>
          <w:smallCaps w:val="false"/>
          <w:sz w:val="20"/>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Charter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 the Shares, the Pre-Funded Warrants and the Warrant Shares.</w:t>
      </w:r>
    </w:p>
    <w:p>
      <w:pPr>
        <w:pStyle w:val="TextBody"/>
        <w:bidi w:val="0"/>
        <w:spacing w:before="0" w:after="0"/>
        <w:ind w:left="720" w:right="0" w:firstLine="722"/>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xml:space="preserve">.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SEC Reports.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is true and correct and does not contain any untrue statement of a material fact or omit to state any material fact necessary in order to make the statements made therein, in light of the circumstances under which they were made, not misleading. The press releases disseminated by the Company during the 12 months preceding the date of this Agreement do not contain any untrue statement of a material fact or omit to state a material fact required to be stated therein or necessary in order to make the statements therein, in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hereof.</w:t>
      </w:r>
    </w:p>
    <w:p>
      <w:pPr>
        <w:pStyle w:val="TextBody"/>
        <w:bidi w:val="0"/>
        <w:spacing w:before="0" w:after="0"/>
        <w:ind w:left="720" w:right="0" w:hanging="1"/>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xml:space="preserve">. Assuming the accuracy of the Purchasers’ representations and warranties set forth in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any applicable shareholder approval provisions of any Principal Market on which any of the securities of the Company are listed or designated.</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SEC Reports set forth as of the date hereof all outstanding secured and unsecured Indebtedness of the Company or any Subsidiary, or for which the Company or any Subsidiary has commitments. For the purposes of this Agreement. “</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means (x) any liabilities for borrowed money or amounts owed in excess of $100,000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$200,000 due under leases required to be capitalized in accordance with GAAP. Except as set forth in the SEC Reports, neither the Company nor any Subsidiary is in default with respect to any Indebtedness.</w:t>
      </w:r>
    </w:p>
    <w:p>
      <w:pPr>
        <w:pStyle w:val="TextBody"/>
        <w:bidi w:val="0"/>
        <w:spacing w:before="0" w:after="0"/>
        <w:ind w:left="720" w:right="0" w:firstLine="724"/>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 </w:t>
      </w:r>
      <w:r>
        <w:rPr>
          <w:rFonts w:ascii="Times New Roman;Times;Serif" w:hAnsi="Times New Roman;Times;Serif"/>
          <w:b w:val="false"/>
          <w:i w:val="false"/>
          <w:caps w:val="false"/>
          <w:smallCaps w:val="false"/>
          <w:sz w:val="20"/>
          <w:u w:val="single"/>
        </w:rPr>
        <w:t>Tax Status</w:t>
      </w:r>
      <w:r>
        <w:rPr>
          <w:rFonts w:ascii="Times New Roman;Times;Serif" w:hAnsi="Times New Roman;Times;Serif"/>
          <w:b w:val="false"/>
          <w:i w:val="false"/>
          <w:caps w:val="false"/>
          <w:smallCaps w:val="false"/>
          <w:sz w:val="20"/>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 </w:t>
      </w:r>
      <w:r>
        <w:rPr>
          <w:rFonts w:ascii="Times New Roman;Times;Serif" w:hAnsi="Times New Roman;Times;Serif"/>
          <w:b w:val="false"/>
          <w:i w:val="false"/>
          <w:caps w:val="false"/>
          <w:smallCaps w:val="false"/>
          <w:sz w:val="20"/>
          <w:u w:val="single"/>
        </w:rPr>
        <w:t>Foreign Corrupt Practices</w:t>
      </w:r>
      <w:r>
        <w:rPr>
          <w:rFonts w:ascii="Times New Roman;Times;Serif" w:hAnsi="Times New Roman;Times;Serif"/>
          <w:b w:val="false"/>
          <w:i w:val="false"/>
          <w:caps w:val="false"/>
          <w:smallCaps w:val="false"/>
          <w:sz w:val="20"/>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any provision of FCPA.</w:t>
      </w:r>
    </w:p>
    <w:p>
      <w:pPr>
        <w:pStyle w:val="TextBody"/>
        <w:bidi w:val="0"/>
        <w:spacing w:before="0" w:after="0"/>
        <w:ind w:left="720" w:right="0" w:firstLine="722"/>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 </w:t>
      </w:r>
      <w:r>
        <w:rPr>
          <w:rFonts w:ascii="Times New Roman;Times;Serif" w:hAnsi="Times New Roman;Times;Serif"/>
          <w:b w:val="false"/>
          <w:i w:val="false"/>
          <w:caps w:val="false"/>
          <w:smallCaps w:val="false"/>
          <w:sz w:val="20"/>
          <w:u w:val="single"/>
        </w:rPr>
        <w:t>Accountants</w:t>
      </w:r>
      <w:r>
        <w:rPr>
          <w:rFonts w:ascii="Times New Roman;Times;Serif" w:hAnsi="Times New Roman;Times;Serif"/>
          <w:b w:val="false"/>
          <w:i w:val="false"/>
          <w:caps w:val="false"/>
          <w:smallCaps w:val="false"/>
          <w:sz w:val="20"/>
        </w:rPr>
        <w:t>. The Company’s accounting firm is set forth in the SEC Reports. To the knowledge and belief of the Company, such accounting firm is a registered public accounting firm as required by the Exchange Act and the rules of the Public Company Accounting Oversight Board (“PCAOB”), and is in good standing with the PCAOB. Such firm has expressed its opinion with respect to the financial statements included in the Company’s most recently filed Annual Report on Form 10-K and, to the knowledge of the Company, is expected to express its opinion with respect to the financial statements to be included in the Company’s Annual Report for the fiscal year ending December 31, 2025. The Company has not had any disagreements (as that term is defined in Item 304 of Regulation S-K) with its independent registered public accounting firm during the periods covered by the financial statements included in the SEC Reports or any subsequent interim period. To the Company’s knowledge, such firm has not resigned or been dismissed as the Company’s independent auditors as a result of or in connection with any disagreement relating to accounting principles, financial statement disclosures, or auditing scope or procedures.</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(ee) </w:t>
      </w:r>
      <w:r>
        <w:rPr>
          <w:rFonts w:ascii="Times New Roman;Times;Serif" w:hAnsi="Times New Roman;Times;Serif"/>
          <w:b w:val="false"/>
          <w:i w:val="false"/>
          <w:caps w:val="false"/>
          <w:smallCaps w:val="false"/>
          <w:sz w:val="20"/>
          <w:u w:val="single"/>
        </w:rPr>
        <w:t>Acknowledgment Regarding Purchasers’ Purchase of Securities</w:t>
      </w:r>
      <w:r>
        <w:rPr>
          <w:rFonts w:ascii="Times New Roman;Times;Serif" w:hAnsi="Times New Roman;Times;Serif"/>
          <w:b w:val="false"/>
          <w:i w:val="false"/>
          <w:caps w:val="false"/>
          <w:smallCaps w:val="false"/>
          <w:sz w:val="20"/>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pStyle w:val="TextBody"/>
        <w:bidi w:val="0"/>
        <w:spacing w:before="0" w:after="0"/>
        <w:ind w:left="720" w:right="0" w:firstLine="722"/>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 </w:t>
      </w:r>
      <w:r>
        <w:rPr>
          <w:rFonts w:ascii="Times New Roman;Times;Serif" w:hAnsi="Times New Roman;Times;Serif"/>
          <w:b w:val="false"/>
          <w:i w:val="false"/>
          <w:caps w:val="false"/>
          <w:smallCaps w:val="false"/>
          <w:sz w:val="20"/>
          <w:u w:val="single"/>
        </w:rPr>
        <w:t>Acknowledgement Regarding Purchaser’s Trading Activity.</w:t>
      </w:r>
      <w:r>
        <w:rPr>
          <w:rFonts w:ascii="Times New Roman;Times;Serif" w:hAnsi="Times New Roman;Times;Serif"/>
          <w:b w:val="false"/>
          <w:i w:val="false"/>
          <w:caps w:val="false"/>
          <w:smallCaps w:val="false"/>
          <w:sz w:val="20"/>
        </w:rPr>
        <w:t xml:space="preserve"> Notwithstanding anything in this Agreement or elsewhere to the contrary (except for </w:t>
      </w:r>
      <w:r>
        <w:rPr>
          <w:rFonts w:ascii="Times New Roman;Times;Serif" w:hAnsi="Times New Roman;Times;Serif"/>
          <w:b w:val="false"/>
          <w:i w:val="false"/>
          <w:caps w:val="false"/>
          <w:smallCaps w:val="false"/>
          <w:sz w:val="20"/>
          <w:u w:val="single"/>
        </w:rPr>
        <w:t>Sections 3.2(f)</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4.12</w:t>
      </w:r>
      <w:r>
        <w:rPr>
          <w:rFonts w:ascii="Times New Roman;Times;Serif" w:hAnsi="Times New Roman;Times;Serif"/>
          <w:b w:val="false"/>
          <w:i w:val="false"/>
          <w:caps w:val="false"/>
          <w:smallCaps w:val="false"/>
          <w:sz w:val="20"/>
        </w:rPr>
        <w:t xml:space="preserve"> hereof), it is understood and acknowledged by the Company that: (i) no Purchaser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and (z) such hedging activities (if any) could reduce the value of the existing shareholders ‘equity interests in the Company at and after the time that the hedging activities are being conducted. The Company acknowledges that such aforementioned hedging activities do not constitute a breach of any of the Transaction Documents.</w:t>
      </w:r>
    </w:p>
    <w:p>
      <w:pPr>
        <w:pStyle w:val="TextBody"/>
        <w:bidi w:val="0"/>
        <w:spacing w:before="0" w:after="0"/>
        <w:ind w:left="1081" w:right="0" w:hanging="2"/>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(gg) </w:t>
      </w:r>
      <w:r>
        <w:rPr>
          <w:rFonts w:ascii="Times New Roman;Times;Serif" w:hAnsi="Times New Roman;Times;Serif"/>
          <w:b w:val="false"/>
          <w:i w:val="false"/>
          <w:caps w:val="false"/>
          <w:smallCaps w:val="false"/>
          <w:sz w:val="20"/>
          <w:u w:val="single"/>
        </w:rPr>
        <w:t>Regulation M Compliance</w:t>
      </w:r>
      <w:r>
        <w:rPr>
          <w:rFonts w:ascii="Times New Roman;Times;Serif" w:hAnsi="Times New Roman;Times;Serif"/>
          <w:b w:val="false"/>
          <w:i w:val="false"/>
          <w:caps w:val="false"/>
          <w:smallCaps w:val="false"/>
          <w:sz w:val="20"/>
        </w:rPr>
        <w:t>. The Company has not, and to its knowledge no one acting on its behalf has, (i) taken, directly or indirectly, any action designed to cause or to result in the stabilization or manipulation of the price of the Common Stock to facilitate the sale of the Securities, (ii) sold, bid for, purchased, or, paid any compensation for soliciting purchases of, any of the Securities, or (iii) paid or agreed to pay to any Person any compensation for soliciting another to purchase any of the Securities.</w:t>
      </w:r>
    </w:p>
    <w:p>
      <w:pPr>
        <w:pStyle w:val="TextBody"/>
        <w:bidi w:val="0"/>
        <w:spacing w:before="0" w:after="0"/>
        <w:ind w:left="720" w:right="0" w:firstLine="724"/>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(hh) </w:t>
      </w:r>
      <w:r>
        <w:rPr>
          <w:rFonts w:ascii="Times New Roman;Times;Serif" w:hAnsi="Times New Roman;Times;Serif"/>
          <w:b w:val="false"/>
          <w:i w:val="false"/>
          <w:caps w:val="false"/>
          <w:smallCaps w:val="false"/>
          <w:sz w:val="20"/>
          <w:u w:val="single"/>
        </w:rPr>
        <w:t>Stock Option Plans</w:t>
      </w:r>
      <w:r>
        <w:rPr>
          <w:rFonts w:ascii="Times New Roman;Times;Serif" w:hAnsi="Times New Roman;Times;Serif"/>
          <w:b w:val="false"/>
          <w:i w:val="false"/>
          <w:caps w:val="false"/>
          <w:smallCaps w:val="false"/>
          <w:sz w:val="20"/>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Cybersecurity</w:t>
      </w:r>
      <w:r>
        <w:rPr>
          <w:rFonts w:ascii="Times New Roman;Times;Serif" w:hAnsi="Times New Roman;Times;Serif"/>
          <w:b w:val="false"/>
          <w:i w:val="false"/>
          <w:caps w:val="false"/>
          <w:smallCaps w:val="false"/>
          <w:sz w:val="20"/>
        </w:rPr>
        <w:t>. Except as would not reasonably be expected to result in a Material Adverse Effect, (i) there has been no material security breach of or relating to any of the Company’s or its Subsidiaries’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Times;Serif" w:hAnsi="Times New Roman;Times;Serif"/>
          <w:b w:val="false"/>
          <w:i w:val="false"/>
          <w:caps w:val="false"/>
          <w:smallCaps w:val="false"/>
          <w:sz w:val="20"/>
          <w:u w:val="single"/>
        </w:rPr>
        <w:t>IT Systems and Data</w:t>
      </w:r>
      <w:r>
        <w:rPr>
          <w:rFonts w:ascii="Times New Roman;Times;Serif" w:hAnsi="Times New Roman;Times;Serif"/>
          <w:b w:val="false"/>
          <w:i w:val="false"/>
          <w:caps w:val="false"/>
          <w:smallCaps w:val="false"/>
          <w:sz w:val="20"/>
        </w:rPr>
        <w:t>”), (ii) the Company and the Subsidiaries have not been notified of, and has no knowledge of any event or condition that would reasonably be expected to result in, any material security breach to its IT Systems and Data, (iii)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(iv) the Company and its Subsidiaries have implemented and maintained commercially reasonable safeguards to maintain and protect their material confidential information and the integrity, continuous operation, redundancy and security of all IT Systems and Data, and (v) the Company and its Subsidiaries have implemented commercially reasonable backup and disaster recovery technology.</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(jj) </w:t>
      </w:r>
      <w:r>
        <w:rPr>
          <w:rFonts w:ascii="Times New Roman;Times;Serif" w:hAnsi="Times New Roman;Times;Serif"/>
          <w:b w:val="false"/>
          <w:i w:val="false"/>
          <w:caps w:val="false"/>
          <w:smallCaps w:val="false"/>
          <w:sz w:val="20"/>
          <w:u w:val="single"/>
        </w:rPr>
        <w:t>Private Placement</w:t>
      </w:r>
      <w:r>
        <w:rPr>
          <w:rFonts w:ascii="Times New Roman;Times;Serif" w:hAnsi="Times New Roman;Times;Serif"/>
          <w:b w:val="false"/>
          <w:i w:val="false"/>
          <w:caps w:val="false"/>
          <w:smallCaps w:val="false"/>
          <w:sz w:val="20"/>
        </w:rPr>
        <w:t xml:space="preserve">. Assuming the accuracy of each Purchaser’s representations and warranties set forth in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no registration under the Securities Act is required for the offer and sale of the Securities by the Company to the Purchasers as contemplated 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(kk) </w:t>
      </w:r>
      <w:r>
        <w:rPr>
          <w:rFonts w:ascii="Times New Roman;Times;Serif" w:hAnsi="Times New Roman;Times;Serif"/>
          <w:b w:val="false"/>
          <w:i w:val="false"/>
          <w:caps w:val="false"/>
          <w:smallCaps w:val="false"/>
          <w:sz w:val="20"/>
          <w:u w:val="single"/>
        </w:rPr>
        <w:t>No General Solicitation</w:t>
      </w:r>
      <w:r>
        <w:rPr>
          <w:rFonts w:ascii="Times New Roman;Times;Serif" w:hAnsi="Times New Roman;Times;Serif"/>
          <w:b w:val="false"/>
          <w:i w:val="false"/>
          <w:caps w:val="false"/>
          <w:smallCaps w:val="false"/>
          <w:sz w:val="20"/>
        </w:rPr>
        <w:t>. Neither the Company nor any person acting on behalf of the Company has offered or sold any of the Securities by any form of general solicitation or general advertising. The Company has offered the Securities for sale only to the Purchasers and certain other “accredited investors” within the meaning of Rule 501 under the Securities Act.</w:t>
      </w:r>
    </w:p>
    <w:p>
      <w:pPr>
        <w:pStyle w:val="TextBody"/>
        <w:bidi w:val="0"/>
        <w:spacing w:before="0" w:after="0"/>
        <w:ind w:left="720" w:right="0" w:hanging="1"/>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(ll) </w:t>
      </w:r>
      <w:r>
        <w:rPr>
          <w:rFonts w:ascii="Times New Roman;Times;Serif" w:hAnsi="Times New Roman;Times;Serif"/>
          <w:b w:val="false"/>
          <w:i w:val="false"/>
          <w:caps w:val="false"/>
          <w:smallCaps w:val="false"/>
          <w:sz w:val="20"/>
          <w:u w:val="single"/>
        </w:rPr>
        <w:t>No Disqualification Events</w:t>
      </w:r>
      <w:r>
        <w:rPr>
          <w:rFonts w:ascii="Times New Roman;Times;Serif" w:hAnsi="Times New Roman;Times;Serif"/>
          <w:b w:val="false"/>
          <w:i w:val="false"/>
          <w:caps w:val="false"/>
          <w:smallCaps w:val="false"/>
          <w:sz w:val="20"/>
        </w:rPr>
        <w:t>. With respect to the Securities to be offered and sold hereunder in reliance on Rule 506(b)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nor any Person, including a placement agent, who will receive a commission or fees for soliciting purchasers (each, an “</w:t>
      </w:r>
      <w:r>
        <w:rPr>
          <w:rFonts w:ascii="Times New Roman;Times;Serif" w:hAnsi="Times New Roman;Times;Serif"/>
          <w:b/>
          <w:i w:val="false"/>
          <w:caps w:val="false"/>
          <w:smallCaps w:val="false"/>
          <w:sz w:val="20"/>
        </w:rPr>
        <w:t>Issuer Covered Person</w:t>
      </w:r>
      <w:r>
        <w:rPr>
          <w:rFonts w:ascii="Times New Roman;Times;Serif" w:hAnsi="Times New Roman;Times;Serif"/>
          <w:b w:val="false"/>
          <w:i w:val="false"/>
          <w:caps w:val="false"/>
          <w:smallCaps w:val="false"/>
          <w:sz w:val="20"/>
        </w:rPr>
        <w:t>” and, together, “</w:t>
      </w:r>
      <w:r>
        <w:rPr>
          <w:rFonts w:ascii="Times New Roman;Times;Serif" w:hAnsi="Times New Roman;Times;Serif"/>
          <w:b/>
          <w:i w:val="false"/>
          <w:caps w:val="false"/>
          <w:smallCaps w:val="false"/>
          <w:sz w:val="20"/>
        </w:rPr>
        <w:t>Issuer Covered Persons</w:t>
      </w:r>
      <w:r>
        <w:rPr>
          <w:rFonts w:ascii="Times New Roman;Times;Serif" w:hAnsi="Times New Roman;Times;Serif"/>
          <w:b w:val="false"/>
          <w:i w:val="false"/>
          <w:caps w:val="false"/>
          <w:smallCaps w:val="false"/>
          <w:sz w:val="20"/>
        </w:rPr>
        <w:t>”) is subject to any of the “Bad Actor” disqualifications described in Rule 506(d)(1)(i) to (viii) under the Securities Act (a “</w:t>
      </w:r>
      <w:r>
        <w:rPr>
          <w:rFonts w:ascii="Times New Roman;Times;Serif" w:hAnsi="Times New Roman;Times;Serif"/>
          <w:b/>
          <w:i w:val="false"/>
          <w:caps w:val="false"/>
          <w:smallCaps w:val="false"/>
          <w:sz w:val="20"/>
        </w:rPr>
        <w:t>Disqualification Event</w:t>
      </w:r>
      <w:r>
        <w:rPr>
          <w:rFonts w:ascii="Times New Roman;Times;Serif" w:hAnsi="Times New Roman;Times;Serif"/>
          <w:b w:val="false"/>
          <w:i w:val="false"/>
          <w:caps w:val="false"/>
          <w:smallCaps w:val="false"/>
          <w:sz w:val="20"/>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(mm) </w:t>
      </w:r>
      <w:r>
        <w:rPr>
          <w:rFonts w:ascii="Times New Roman;Times;Serif" w:hAnsi="Times New Roman;Times;Serif"/>
          <w:b w:val="false"/>
          <w:i w:val="false"/>
          <w:caps w:val="false"/>
          <w:smallCaps w:val="false"/>
          <w:sz w:val="20"/>
          <w:u w:val="single"/>
        </w:rPr>
        <w:t>Notice of Disqualification Events</w:t>
      </w:r>
      <w:r>
        <w:rPr>
          <w:rFonts w:ascii="Times New Roman;Times;Serif" w:hAnsi="Times New Roman;Times;Serif"/>
          <w:b w:val="false"/>
          <w:i w:val="false"/>
          <w:caps w:val="false"/>
          <w:smallCaps w:val="false"/>
          <w:sz w:val="20"/>
        </w:rPr>
        <w:t>. The Company will notify the Purchasers in writing, prior to the Closing Date of (i) any Disqualification Event relating to any Issuer Covered Person and (ii) any event that would, with the passage of time, reasonably be expected to become a Disqualification Event relating to any Issuer Covered Person, in each case of which it is aware.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(nn) </w:t>
      </w:r>
      <w:r>
        <w:rPr>
          <w:rFonts w:ascii="Times New Roman;Times;Serif" w:hAnsi="Times New Roman;Times;Serif"/>
          <w:b w:val="false"/>
          <w:i w:val="false"/>
          <w:caps w:val="false"/>
          <w:smallCaps w:val="false"/>
          <w:sz w:val="20"/>
          <w:u w:val="single"/>
        </w:rPr>
        <w:t>Office of Foreign Assets Control</w:t>
      </w:r>
      <w:r>
        <w:rPr>
          <w:rFonts w:ascii="Times New Roman;Times;Serif" w:hAnsi="Times New Roman;Times;Serif"/>
          <w:b w:val="false"/>
          <w:i w:val="false"/>
          <w:caps w:val="false"/>
          <w:smallCaps w:val="false"/>
          <w:sz w:val="20"/>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(oo) </w:t>
      </w:r>
      <w:r>
        <w:rPr>
          <w:rFonts w:ascii="Times New Roman;Times;Serif" w:hAnsi="Times New Roman;Times;Serif"/>
          <w:b w:val="false"/>
          <w:i w:val="false"/>
          <w:caps w:val="false"/>
          <w:smallCaps w:val="false"/>
          <w:sz w:val="20"/>
          <w:u w:val="single"/>
        </w:rPr>
        <w:t>U.S. Real Property Holding Corporation</w:t>
      </w:r>
      <w:r>
        <w:rPr>
          <w:rFonts w:ascii="Times New Roman;Times;Serif" w:hAnsi="Times New Roman;Times;Serif"/>
          <w:b w:val="false"/>
          <w:i w:val="false"/>
          <w:caps w:val="false"/>
          <w:smallCaps w:val="false"/>
          <w:sz w:val="20"/>
        </w:rPr>
        <w:t>. The Company is not and has never been a U.S. real property holding corporation within the meaning of Section 897 of the Internal Revenue Code of 1986, as amended, and the Company shall so certify upon Purchaser’s request.</w:t>
      </w:r>
    </w:p>
    <w:p>
      <w:pPr>
        <w:pStyle w:val="TextBody"/>
        <w:bidi w:val="0"/>
        <w:spacing w:before="0" w:after="0"/>
        <w:ind w:left="720" w:right="0" w:firstLine="717"/>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(pp) </w:t>
      </w:r>
      <w:r>
        <w:rPr>
          <w:rFonts w:ascii="Times New Roman;Times;Serif" w:hAnsi="Times New Roman;Times;Serif"/>
          <w:b w:val="false"/>
          <w:i w:val="false"/>
          <w:caps w:val="false"/>
          <w:smallCaps w:val="false"/>
          <w:sz w:val="20"/>
          <w:u w:val="single"/>
        </w:rPr>
        <w:t>Bank Holding Company Act</w:t>
      </w:r>
      <w:r>
        <w:rPr>
          <w:rFonts w:ascii="Times New Roman;Times;Serif" w:hAnsi="Times New Roman;Times;Serif"/>
          <w:b w:val="false"/>
          <w:i w:val="false"/>
          <w:caps w:val="false"/>
          <w:smallCaps w:val="false"/>
          <w:sz w:val="20"/>
        </w:rPr>
        <w:t>. Neither the Company nor any of its Subsidiaries or Affiliates is subject to the Bank Holding Company Act of 1956, as amended (the “</w:t>
      </w:r>
      <w:r>
        <w:rPr>
          <w:rFonts w:ascii="Times New Roman;Times;Serif" w:hAnsi="Times New Roman;Times;Serif"/>
          <w:b/>
          <w:i w:val="false"/>
          <w:caps w:val="false"/>
          <w:smallCaps w:val="false"/>
          <w:sz w:val="20"/>
        </w:rPr>
        <w:t>BHCA</w:t>
      </w:r>
      <w:r>
        <w:rPr>
          <w:rFonts w:ascii="Times New Roman;Times;Serif" w:hAnsi="Times New Roman;Times;Serif"/>
          <w:b w:val="false"/>
          <w:i w:val="false"/>
          <w:caps w:val="false"/>
          <w:smallCaps w:val="false"/>
          <w:sz w:val="20"/>
        </w:rPr>
        <w:t>”) and to regulation by the Board of Governors of the Federal Reserve System (the “</w:t>
      </w:r>
      <w:r>
        <w:rPr>
          <w:rFonts w:ascii="Times New Roman;Times;Serif" w:hAnsi="Times New Roman;Times;Serif"/>
          <w:b/>
          <w:i w:val="false"/>
          <w:caps w:val="false"/>
          <w:smallCaps w:val="false"/>
          <w:sz w:val="20"/>
        </w:rPr>
        <w:t>Federal Reserve</w:t>
      </w:r>
      <w:r>
        <w:rPr>
          <w:rFonts w:ascii="Times New Roman;Times;Serif" w:hAnsi="Times New Roman;Times;Serif"/>
          <w:b w:val="false"/>
          <w:i w:val="false"/>
          <w:caps w:val="false"/>
          <w:smallCaps w:val="false"/>
          <w:sz w:val="20"/>
        </w:rPr>
        <w:t>”). Neither the Company nor any of its Subsidiaries or Affiliates owns or controls, directly or indirectly,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0"/>
        <w:ind w:left="720" w:right="0" w:firstLine="723"/>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(qq) </w:t>
      </w:r>
      <w:r>
        <w:rPr>
          <w:rFonts w:ascii="Times New Roman;Times;Serif" w:hAnsi="Times New Roman;Times;Serif"/>
          <w:b w:val="false"/>
          <w:i w:val="false"/>
          <w:caps w:val="false"/>
          <w:smallCaps w:val="false"/>
          <w:sz w:val="20"/>
          <w:u w:val="single"/>
        </w:rPr>
        <w:t>Money Laundering</w:t>
      </w:r>
      <w:r>
        <w:rPr>
          <w:rFonts w:ascii="Times New Roman;Times;Serif" w:hAnsi="Times New Roman;Times;Serif"/>
          <w:b w:val="false"/>
          <w:i w:val="false"/>
          <w:caps w:val="false"/>
          <w:smallCaps w:val="false"/>
          <w:sz w:val="20"/>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Times;Serif" w:hAnsi="Times New Roman;Times;Serif"/>
          <w:b/>
          <w:i w:val="false"/>
          <w:caps w:val="false"/>
          <w:smallCaps w:val="false"/>
          <w:sz w:val="20"/>
        </w:rPr>
        <w:t>Money Laundering Laws</w:t>
      </w:r>
      <w:r>
        <w:rPr>
          <w:rFonts w:ascii="Times New Roman;Times;Serif" w:hAnsi="Times New Roman;Times;Serif"/>
          <w:b w:val="false"/>
          <w:i w:val="false"/>
          <w:caps w:val="false"/>
          <w:smallCaps w:val="false"/>
          <w:sz w:val="20"/>
        </w:rPr>
        <w:t>”), and no Action by or before any court or governmental agency, authority or body or any arbitrator involving the Company or any Subsidiary with respect to the Money Laundering Laws is pending or, to the knowledge of the Company or any Subsidiary, threatened.</w:t>
      </w:r>
    </w:p>
    <w:p>
      <w:pPr>
        <w:pStyle w:val="TextBody"/>
        <w:bidi w:val="0"/>
        <w:spacing w:before="0" w:after="0"/>
        <w:ind w:left="720" w:right="0" w:firstLine="717"/>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(rr) </w:t>
      </w:r>
      <w:r>
        <w:rPr>
          <w:rFonts w:ascii="Times New Roman;Times;Serif" w:hAnsi="Times New Roman;Times;Serif"/>
          <w:b w:val="false"/>
          <w:i w:val="false"/>
          <w:caps w:val="false"/>
          <w:smallCaps w:val="false"/>
          <w:sz w:val="20"/>
          <w:u w:val="single"/>
        </w:rPr>
        <w:t>Shell Company Status</w:t>
      </w:r>
      <w:r>
        <w:rPr>
          <w:rFonts w:ascii="Times New Roman;Times;Serif" w:hAnsi="Times New Roman;Times;Serif"/>
          <w:b w:val="false"/>
          <w:i w:val="false"/>
          <w:caps w:val="false"/>
          <w:smallCaps w:val="false"/>
          <w:sz w:val="20"/>
        </w:rPr>
        <w:t>. The Company is not, and has not been for a period of at least one year from the date hereof, an issuer identified in Rule 144(i)(1) of the Securities Act. The Company has filed current “Form 10 information” (as defined in Rule 144(i)(3)) with the SEC reflecting its status as an entity that was no longer an issuer described in Rule 144(i)(1)(i) more than one year ago from the date hereof. The Company shall provide a legal opinion of counsel to the Company in a form reasonably acceptable to the Purchaser with respect to this representation.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Representations and Warranties of the Purchasers</w:t>
      </w:r>
      <w:r>
        <w:rPr>
          <w:rFonts w:ascii="Times New Roman;Times;Serif" w:hAnsi="Times New Roman;Times;Serif"/>
          <w:b w:val="false"/>
          <w:i w:val="false"/>
          <w:caps w:val="false"/>
          <w:smallCaps w:val="false"/>
          <w:sz w:val="20"/>
        </w:rPr>
        <w:t>. Each Purchaser, for itself and for no other Purchaser, hereby represents and warrants to the Company as follows which representations and warranties shall be true and correct as of the date hereof and as of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Organization; Authority</w:t>
      </w:r>
      <w:r>
        <w:rPr>
          <w:rFonts w:ascii="Times New Roman;Times;Serif" w:hAnsi="Times New Roman;Times;Serif"/>
          <w:b w:val="false"/>
          <w:i w:val="false"/>
          <w:caps w:val="false"/>
          <w:smallCaps w:val="false"/>
          <w:sz w:val="20"/>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this Agreement and otherwise to carry out its obligations hereunder and thereunder. The execution and delivery of this Agreement and performance by such Purchaser of the transactions contemplated by this Agreement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720" w:right="0" w:firstLine="723"/>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Understandings or Arrangements</w:t>
      </w:r>
      <w:r>
        <w:rPr>
          <w:rFonts w:ascii="Times New Roman;Times;Serif" w:hAnsi="Times New Roman;Times;Serif"/>
          <w:b w:val="false"/>
          <w:i w:val="false"/>
          <w:caps w:val="false"/>
          <w:smallCaps w:val="false"/>
          <w:sz w:val="20"/>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in compliance with applicable federal and state securities laws). Such Purchaser is acquiring the Securities hereunder in the ordinary course of its business. Such Purchaser understands that the Securities are “restricted securities” and have not been registered under the Securities Act or any applicable state securities law and is acquiring such Securities as principal for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such Securities in compliance with applicable federal and state securities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Purchaser Status</w:t>
      </w:r>
      <w:r>
        <w:rPr>
          <w:rFonts w:ascii="Times New Roman;Times;Serif" w:hAnsi="Times New Roman;Times;Serif"/>
          <w:b w:val="false"/>
          <w:i w:val="false"/>
          <w:caps w:val="false"/>
          <w:smallCaps w:val="false"/>
          <w:sz w:val="20"/>
        </w:rPr>
        <w:t>. At the time such Purchaser was offered the Securities, it was, and as of the date hereof it is, an “accredited investor” within the meaning of Rule 501 under Regulation D promulgated under the Securities Act or a “qualified institutional buyer” as defined in Rule 144A(a) promulgated under the Securities Act. No Purchaser is subject to any Disqualification Event, except for a Disqualification Event covered by Rule 506(d)(2) or (d)(3).</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Experience of Such Purchaser</w:t>
      </w:r>
      <w:r>
        <w:rPr>
          <w:rFonts w:ascii="Times New Roman;Times;Serif" w:hAnsi="Times New Roman;Times;Serif"/>
          <w:b w:val="false"/>
          <w:i w:val="false"/>
          <w:caps w:val="false"/>
          <w:smallCaps w:val="false"/>
          <w:sz w:val="20"/>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pStyle w:val="TextBody"/>
        <w:bidi w:val="0"/>
        <w:spacing w:before="0" w:after="0"/>
        <w:ind w:left="720" w:right="0" w:firstLine="72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Access to Information</w:t>
      </w:r>
      <w:r>
        <w:rPr>
          <w:rFonts w:ascii="Times New Roman;Times;Serif" w:hAnsi="Times New Roman;Times;Serif"/>
          <w:b w:val="false"/>
          <w:i w:val="false"/>
          <w:caps w:val="false"/>
          <w:smallCaps w:val="false"/>
          <w:sz w:val="20"/>
        </w:rPr>
        <w:t>. Such Purchaser acknowledges that it has had the opportunity to review the Transaction Documents (including all exhibits and schedules thereto) and the SEC Reports and has been afforded, subject to Regulation FD,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Company, nor its Affiliates or anyone else has provided such Purchaser with any information or advice with respect to the Securities nor is such information or advice necessary or desired.</w:t>
      </w:r>
    </w:p>
    <w:p>
      <w:pPr>
        <w:pStyle w:val="TextBody"/>
        <w:bidi w:val="0"/>
        <w:spacing w:before="0" w:after="0"/>
        <w:ind w:left="720" w:right="0" w:firstLine="717"/>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acknowledges and agrees that the representations contained in this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AGREEMENTS OF THE PARTIES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Removal of Legends</w:t>
      </w:r>
      <w:r>
        <w:rPr>
          <w:rFonts w:ascii="Times New Roman;Times;Serif" w:hAnsi="Times New Roman;Times;Serif"/>
          <w:b w:val="false"/>
          <w:i w:val="false"/>
          <w:caps w:val="false"/>
          <w:smallCaps w:val="false"/>
          <w:sz w:val="20"/>
        </w:rPr>
        <w:t>.</w:t>
      </w:r>
    </w:p>
    <w:p>
      <w:pPr>
        <w:pStyle w:val="TextBody"/>
        <w:bidi w:val="0"/>
        <w:spacing w:before="0" w:after="0"/>
        <w:ind w:left="0" w:right="0" w:hanging="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Shares, the Pre-Funded Warrants, the Common Warrants and the Warrant Shares may only be disposed of in compliance with state and federal securities laws. In connection with any transfer of the Shares or the Warrant Shares other than pursuant to an effective registration statement or Rule 144, to the Company or to an Affiliate of a Purchaser or in connection with a pledge as contemplated in </w:t>
      </w:r>
      <w:r>
        <w:rPr>
          <w:rFonts w:ascii="Times New Roman;Times;Serif" w:hAnsi="Times New Roman;Times;Serif"/>
          <w:b w:val="false"/>
          <w:i w:val="false"/>
          <w:caps w:val="false"/>
          <w:smallCaps w:val="false"/>
          <w:sz w:val="20"/>
          <w:u w:val="single"/>
        </w:rPr>
        <w:t>Section 4.1(b)</w:t>
      </w:r>
      <w:r>
        <w:rPr>
          <w:rFonts w:ascii="Times New Roman;Times;Serif" w:hAnsi="Times New Roman;Times;Serif"/>
          <w:b w:val="false"/>
          <w:i w:val="false"/>
          <w:caps w:val="false"/>
          <w:smallCaps w:val="false"/>
          <w:sz w:val="20"/>
        </w:rPr>
        <w:t>, the Company may require the transferor to provide to the Company an opinion of counsel selected by the transferor and reasonably acceptable to the Company at the cost of the Company, the form and substance of which opinion shall be reasonably satisfactory to the Company, to the effect that such transfer does not require registration of such transferred Shares, Pre-Funded Warrants or Warrant Shares under the Securities Act.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Purchaser agrees to the imprinting, so long as is required by 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of a legend on any of the Shares, the Pre-Funded Warrants or the Warrant Shares in substantially the following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SECURITY NOR THE SECURITIES INTO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pStyle w:val="TextBody"/>
        <w:bidi w:val="0"/>
        <w:spacing w:before="0" w:after="0"/>
        <w:ind w:left="0" w:right="0" w:hanging="1"/>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and agrees that a Purchaser may from time to time pledge pursuant to a bona fide margin agreement with a registered broker-dealer or grant a security interest in some or all of the Shares, the Pre-Funded Warrants or the Warrant Shares to a financial institution that is an “accredited investor” as defined in Rule 501(a) under the Securities Act and who agrees to be bound by the provisions of this Agreement and, if required under the terms of such arrangement, such Purchaser may transfer pledged or secured Shares, Pre-Funded Warrants or the Warrant Shares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the Shares, Pre-Funded Warrants, or the Warrant Shares may reasonably request in connection with a pledge or transfer of the Shares, Pre-Funded Warrants or the Warrant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Certificates evidencing the Shares, the Pre-Funded Warrants and the Warrant Shares (or the Transfer Agent’s records if held in book entry form) shall not contain any legend (including the legend set forth in </w:t>
      </w:r>
      <w:r>
        <w:rPr>
          <w:rFonts w:ascii="Times New Roman;Times;Serif" w:hAnsi="Times New Roman;Times;Serif"/>
          <w:b w:val="false"/>
          <w:i w:val="false"/>
          <w:caps w:val="false"/>
          <w:smallCaps w:val="false"/>
          <w:sz w:val="20"/>
          <w:u w:val="single"/>
        </w:rPr>
        <w:t>Section 4.1(b)</w:t>
      </w:r>
      <w:r>
        <w:rPr>
          <w:rFonts w:ascii="Times New Roman;Times;Serif" w:hAnsi="Times New Roman;Times;Serif"/>
          <w:b w:val="false"/>
          <w:i w:val="false"/>
          <w:caps w:val="false"/>
          <w:smallCaps w:val="false"/>
          <w:sz w:val="20"/>
        </w:rPr>
        <w:t xml:space="preserve"> hereof): (i) while a registration statement covering the resale of such securities is effective under the Securities Act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(ii) following any sale of such Shares or Warrant Shares pursuant to Rule 144, (iii) if such Shares or Warrant Shares are eligible for sale under Rule 144, without the requirement for the Company to be in compliance with the current public information required under Rule 144 as to such Shares or Warrant Shares and without volume or manner-of-sale restrictions or (iv) if such legend is not required under applicable requirements of the Securities Act (including Sections 4(a)(1) and 4(a)(7) judicial interpretations and pronouncements issued by the staff of the SEC). The Company shall, at its expense, cause its counsel to issue a legal opinion to the Transfer Agent promptly after the Effective Date if required by the Transfer Agent to effect the removal of the legend hereunder. If any Pre-Funded Warrants are exercised at a time when there is an effective registration statement to cover the resale of the Warrant Shares, or if such Warrant Shares may be sold under Rule 144 and the Company is then in compliance with the current public information required under Rule 144, or if the Warrant Shares may be sold under Rule 144 without the requirement for the Company to be in compliance with the current public information required under Rule 144 as to such Warrant Shares and without volume or manner-of-sale restrictions or if such legend is not otherwise required under applicable requirements of the Securities Act (including Sections 4(a)(1) and 4(a)(7), judicial interpretations and pronouncements issued by the staff of the SEC) then such Warrant Shares shall be issued or reissued free of all legends. The Company agrees that following the effective date of any registration statement or at such time as such legend is no longer required under this Section 4.1(c), it will, no later than two Trading Days following the delivery by a Purchaser to the Company or the Transfer Agent of a certificate representing restricted Shares or Warrant Shares, as applicable, issued with a restrictive legend (such second Trading Day, the “</w:t>
      </w:r>
      <w:r>
        <w:rPr>
          <w:rFonts w:ascii="Times New Roman;Times;Serif" w:hAnsi="Times New Roman;Times;Serif"/>
          <w:b/>
          <w:i w:val="false"/>
          <w:caps w:val="false"/>
          <w:smallCaps w:val="false"/>
          <w:sz w:val="20"/>
        </w:rPr>
        <w:t>Legend Removal Date</w:t>
      </w:r>
      <w:r>
        <w:rPr>
          <w:rFonts w:ascii="Times New Roman;Times;Serif" w:hAnsi="Times New Roman;Times;Serif"/>
          <w:b w:val="false"/>
          <w:i w:val="false"/>
          <w:caps w:val="false"/>
          <w:smallCaps w:val="false"/>
          <w:sz w:val="20"/>
        </w:rPr>
        <w:t xml:space="preserve">”), deliver or cause to be delivered to such Purchaser a certificate representing such Shares or Warrant Shares that is free from all restrictive and other legends. The Company may not make any notation on its records or give instructions to the Transfer Agent that enlarge the restrictions on transfer set forth in 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Certificates for Shares or Warrant Shares subject to legend removal hereunder shall be transmitted by the Transfer Agent to the Purchaser by crediting the account of the Purchaser’s prime broker with the Depository Trust Company system as directed by such Purchaser. The Company shall be responsible for any delays caused by its Transfer Agent.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addition to such Purchaser’s other available remedies, subject to </w:t>
      </w:r>
      <w:r>
        <w:rPr>
          <w:rFonts w:ascii="Times New Roman;Times;Serif" w:hAnsi="Times New Roman;Times;Serif"/>
          <w:b w:val="false"/>
          <w:i w:val="false"/>
          <w:caps w:val="false"/>
          <w:smallCaps w:val="false"/>
          <w:sz w:val="20"/>
          <w:u w:val="single"/>
        </w:rPr>
        <w:t>Section 5.18(a)</w:t>
      </w:r>
      <w:r>
        <w:rPr>
          <w:rFonts w:ascii="Times New Roman;Times;Serif" w:hAnsi="Times New Roman;Times;Serif"/>
          <w:b w:val="false"/>
          <w:i w:val="false"/>
          <w:caps w:val="false"/>
          <w:smallCaps w:val="false"/>
          <w:sz w:val="20"/>
        </w:rPr>
        <w:t xml:space="preserve"> but not </w:t>
      </w:r>
      <w:r>
        <w:rPr>
          <w:rFonts w:ascii="Times New Roman;Times;Serif" w:hAnsi="Times New Roman;Times;Serif"/>
          <w:b w:val="false"/>
          <w:i w:val="false"/>
          <w:caps w:val="false"/>
          <w:smallCaps w:val="false"/>
          <w:sz w:val="20"/>
          <w:u w:val="single"/>
        </w:rPr>
        <w:t>Section 5.18(b)</w:t>
      </w:r>
      <w:r>
        <w:rPr>
          <w:rFonts w:ascii="Times New Roman;Times;Serif" w:hAnsi="Times New Roman;Times;Serif"/>
          <w:b w:val="false"/>
          <w:i w:val="false"/>
          <w:caps w:val="false"/>
          <w:smallCaps w:val="false"/>
          <w:sz w:val="20"/>
        </w:rPr>
        <w:t xml:space="preserve">, (i) the Company shall pay to a Purchaser, in cash, as partial liquidated damages and not as a penalty, for each $1,000 of the Shares or Warrant Shares subject to such request, $10 per Trading Day for each Trading Day after the Legend Removal Date (increasing to $20 per Trading Day after the fifth Trading Day) until such certificate is delivered without a legend. Nothing herein shall limit such Purchaser’s right to pursue actual damages for the Company’s failure to deliver certificates representing any Securities as required by the Transaction Documents, and such Purchaser shall have the right to pursue all remedies available to it at law or in equity including, without limitation, a decree of specific performance and/or injunctive relief, and (ii) if after the Legend Removal Date such Purchaser purchases (in an open market transaction or otherwise) shares of Common Stock to deliver in satisfaction of a sale by such Purchaser of all or any portion of the number of Shares or Warrant Shares, or a sale of a number of Shares or Warrant Shares equal to all or any portion of the number of Shares or Warrant Shares that such Purchaser anticipated receiving from the Company without any restrictive legend, then, the Company shall pay to such Purchaser, in cash, an amount equal to the excess of such Purchaser’s total purchase price (including brokerage commissions and other out-of-pocket expenses, if any) for the shares of Common Stock so purchased (including brokerage commissions and other out-of-pocket expenses, if any) over the product of (A) such number of Shares or Warrant Shares that the Company was required to deliver to such Purchaser by the Legend Removal Date multiplied by (B) the highest closing sale price of the Common Stock on any Trading Day during the period commencing on the date of the delivery by such Purchaser to the Company of the applicable Warrant Shares and ending on the date of such delivery and payment under this </w:t>
      </w:r>
      <w:r>
        <w:rPr>
          <w:rFonts w:ascii="Times New Roman;Times;Serif" w:hAnsi="Times New Roman;Times;Serif"/>
          <w:b w:val="false"/>
          <w:i w:val="false"/>
          <w:caps w:val="false"/>
          <w:smallCaps w:val="false"/>
          <w:sz w:val="20"/>
          <w:u w:val="single"/>
        </w:rPr>
        <w:t>Section 4.1(d)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In the event a Purchaser shall request delivery of unlegended shares as described in 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and the Company is required to deliver such unlegended shares, (i) it shall pay all fees and expenses associated with or required by the legend removal and/or transfer including but not limited to legal fees, Transfer Agent fees and overnight delivery charges and taxes, if any, imposed by any applicable government upon the issuance of Common Stock; and (ii) the Company may not refuse to deliver unlegended shares based on any claim that such Purchaser or anyone associated or affiliated with such Purchaser has not complied with Purchaser’s obligations under the Transaction Documents, or for any other reason, unless, an injunction or temporary restraining order from a court, on notice, restraining and or enjoining delivery of such unlegended shares shall have been sought and obtained by the Company and the Company has posted a surety bond for the benefit of such Purchaser in the amount of the greater of (i) 150% of the amount of the aggregate purchase price of the applicable Shares or Warrant Shares, or (ii) the highest VWAP during the five (5) Trading Days before the issue date of the injunction multiplied by the number of unlegended shares to be subject to the injunction, which bond shall remain in effect until the completion of the litigation of the dispute and the proceeds of which shall be payable to such Purchaser to the extent Purchaser obtains judgment in Purchaser’s favor.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shall (A) pay the reasonable legal fees of the Purchaser’s choice (provided such counsel is reasonably acceptable to the Company) (in an amount not to exceed $500 per legal opinion, and not more often than once per week per Purchaser) in connection with the issuance of Shares or the exercise of the Pre-Funded Warrants, and (B) cause its attorneys to promptly provide any opinion or reliance opinion to the Transfer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Furnishing of Information; Public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Until the earliest of the time that no Purchaser owns Securities, the Company covenants to use its reasonable best efforts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pStyle w:val="TextBody"/>
        <w:bidi w:val="0"/>
        <w:spacing w:before="0" w:after="0"/>
        <w:ind w:left="0" w:right="0" w:firstLine="72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any time during the period commencing from the six (6) month anniversary of the Closing Date and ending at such time that all of the Securities may be sold without the requirement for the Company to be in compliance with Rule 144(c)(1) and otherwise without restriction or limitation pursuant to Rule 144, if the Company (i) shall fail for any reason to satisfy the current public information requirement under Rule 144(c) or (ii) has ever been an issuer described in Rule 144(i)(1)(i) or becomes an issuer in the future, and the Company shall fail to satisfy any condition set forth in Rule 144(i)(2) (a “</w:t>
      </w:r>
      <w:r>
        <w:rPr>
          <w:rFonts w:ascii="Times New Roman;Times;Serif" w:hAnsi="Times New Roman;Times;Serif"/>
          <w:b/>
          <w:i w:val="false"/>
          <w:caps w:val="false"/>
          <w:smallCaps w:val="false"/>
          <w:sz w:val="20"/>
        </w:rPr>
        <w:t>Public Information Failure</w:t>
      </w:r>
      <w:r>
        <w:rPr>
          <w:rFonts w:ascii="Times New Roman;Times;Serif" w:hAnsi="Times New Roman;Times;Serif"/>
          <w:b w:val="false"/>
          <w:i w:val="false"/>
          <w:caps w:val="false"/>
          <w:smallCaps w:val="false"/>
          <w:sz w:val="20"/>
        </w:rPr>
        <w:t>”), then, in addition to such Purchaser’s other available remedies, the Company shall pay to such Purchaser, in cash, as partial liquidated damages and not as a penalty, by reason of any such delay in or reduction of its ability to sell the applicable Securities, an amount in cash equal to one percent (1.0%) of the Applicable Amount on the day of a Public Information Failure and on every thirtieth (30th) day (pro rated for periods totaling less than thirty days) thereafter until the earlier of (a) the date such Public Information Failure is cured and (b) such time that such public information is no longer required for the Purchaser to transfer the Securities pursuant to Rule 144.</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the term “</w:t>
      </w:r>
      <w:r>
        <w:rPr>
          <w:rFonts w:ascii="Times New Roman;Times;Serif" w:hAnsi="Times New Roman;Times;Serif"/>
          <w:b/>
          <w:i w:val="false"/>
          <w:caps w:val="false"/>
          <w:smallCaps w:val="false"/>
          <w:sz w:val="20"/>
        </w:rPr>
        <w:t xml:space="preserve">Applicable Amount” </w:t>
      </w:r>
      <w:r>
        <w:rPr>
          <w:rFonts w:ascii="Times New Roman;Times;Serif" w:hAnsi="Times New Roman;Times;Serif"/>
          <w:b w:val="false"/>
          <w:i w:val="false"/>
          <w:caps w:val="false"/>
          <w:smallCaps w:val="false"/>
          <w:sz w:val="20"/>
        </w:rPr>
        <w:t>means the aggregate Purchase Price paid by such Purchaser for Securities on the day of a Public Information Failure and on every thirtieth (30th) day thereafter until the earlier of the cure of such Public Information Failure or such time that public information is no longer required under Rule 144 for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Information Failure payments shall be paid on the earlier of (i) the last day of the calendar month during which such payments are incurred and (ii) the third (3rd) Business Day after the event or failure giving rise to such payments is cured. In the event the Company fails to make Public Information Failure payments in a timely manner, such payments shall bear interest at the rate of 1.5% per month (pro rated for partial months) until paid in full.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herein shall limit the Purchaser’s right to pursue actual damages for the Public Information Failure, and the Purchaser shall have the right to pursue all remedies available to it at law or in equity, including, without limitation, a decree of specific performance and/or injunctive relief.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The Company shall not sell, offer for sale or solicit offers to buy or otherwise negotiate in respect of any security (as defined in Section 2(a)(1) of the Securities Act) that would be integrated with the offer or sale of the Securities for purposes of the rules and regulations of any Principal Market such that it would require shareholder approval prior to the closing of such other transaction unless shareholder approval is obtained before the closing of such subsequent transaction.</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Securities Laws Disclosure; Publicity</w:t>
      </w:r>
      <w:r>
        <w:rPr>
          <w:rFonts w:ascii="Times New Roman;Times;Serif" w:hAnsi="Times New Roman;Times;Serif"/>
          <w:b w:val="false"/>
          <w:i w:val="false"/>
          <w:caps w:val="false"/>
          <w:smallCaps w:val="false"/>
          <w:sz w:val="20"/>
        </w:rPr>
        <w:t xml:space="preserve">. The Company shall file a press release disclosing the material terms of this Agreement, prior to 9:00 AM (New York Time) on the first Trading Day after the date hereof. The Company shall file a Current Report on Form 8-K prior to its due date in accordance with the SEC’s rules. From and after the filing of the press release as provided in this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the Company represents to each Purchaser that it shall have publicly disclosed all material, non-public information delivered to each Purchaser by the Company or any of its Subsidiaries, or any of their respective officers, directors, employees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or Affiliates on the one hand, and any of the Purchasers or any of their Affiliates on the other hand, shall terminate. The Company and each Purchaser shall consult with each other in issuing any press releases with respect to the transactions contemplated hereby, and neither the Company nor any Purchaser shall issue any such press release nor otherwise make any such public statement (other than the press release as provided in this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the Form 8-K approved by Purchaser, and the registration statement registering the resale of the Securities)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SEC or any regulatory agency or Principal Market, without the prior written consent of such Purchaser, except (a) as required by the staff of the SEC in connection with the filing of final Transaction Documents with the SEC and (b) to the extent such disclosure is required by law or Principal Market regulations, in which case the Company shall provide the Purchasers with prior notice of such disclosure permitted under this clause (b).</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Shareholder Rights Plan</w:t>
      </w:r>
      <w:r>
        <w:rPr>
          <w:rFonts w:ascii="Times New Roman;Times;Serif" w:hAnsi="Times New Roman;Times;Serif"/>
          <w:b w:val="false"/>
          <w:i w:val="false"/>
          <w:caps w:val="false"/>
          <w:smallCaps w:val="false"/>
          <w:sz w:val="20"/>
        </w:rPr>
        <w:t>. No claim will be made or enforced by the Company or, with the consent of the Company, any other Person, that any Purchaser is an “Acquiring Person”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any Purchaser.</w:t>
      </w:r>
    </w:p>
    <w:p>
      <w:pPr>
        <w:pStyle w:val="TextBody"/>
        <w:bidi w:val="0"/>
        <w:spacing w:before="0" w:after="0"/>
        <w:ind w:left="0" w:right="0" w:hanging="1"/>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Non-Public Information</w:t>
      </w:r>
      <w:r>
        <w:rPr>
          <w:rFonts w:ascii="Times New Roman;Times;Serif" w:hAnsi="Times New Roman;Times;Serif"/>
          <w:b w:val="false"/>
          <w:i w:val="false"/>
          <w:caps w:val="false"/>
          <w:smallCaps w:val="false"/>
          <w:sz w:val="20"/>
        </w:rPr>
        <w:t xml:space="preserve">. Except with respect to the material terms and conditions of the transactions contemplated by the Transaction Documents, which shall be disclosed pursuant to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to the receipt of such information and agreed with the Company to keep such information confidential. To the extent that any notice provided pursuant to any Transaction Document or any other communications made by the Company, or information provided, to any Purchaser constitutes, or contains, material, non-public information regarding the Company or any Subsidiaries, and such information was provided without such Purchaser’s prior written consent, the Company shall simultaneously file material non-public information with the SEC pursuant to a Current Report on Form 8-K. The Company understands and confirms that each Purchaser shall be relying on the foregoing covenant in effecting transactions in securities of the Company. To the extent that the Company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agents, employees or Affiliates, not to trade on the basis of, such material, non-public information, provided that the Purchaser shall remain subject to applicable law. The Company understands and confirms that each Purchaser shall be relying on the foregoing covenant in effecting transactions in securities of the Company. In addition to any other remedies provided by this Agreement or other Transaction Documents, if the Company provides any material, non-public information to the Purchasers without their prior written consent, and it fails to immediately (no later than the next Trading Day) file a Form 8-K disclosing this material, non-public information, it shall, subject to </w:t>
      </w:r>
      <w:r>
        <w:rPr>
          <w:rFonts w:ascii="Times New Roman;Times;Serif" w:hAnsi="Times New Roman;Times;Serif"/>
          <w:b w:val="false"/>
          <w:i w:val="false"/>
          <w:caps w:val="false"/>
          <w:smallCaps w:val="false"/>
          <w:sz w:val="20"/>
          <w:u w:val="single"/>
        </w:rPr>
        <w:t>Section 5.18</w:t>
      </w:r>
      <w:r>
        <w:rPr>
          <w:rFonts w:ascii="Times New Roman;Times;Serif" w:hAnsi="Times New Roman;Times;Serif"/>
          <w:b w:val="false"/>
          <w:i w:val="false"/>
          <w:caps w:val="false"/>
          <w:smallCaps w:val="false"/>
          <w:sz w:val="20"/>
        </w:rPr>
        <w:t>, pay each Purchasers as partial liquidated damages and not as a penalty a sum equal to $500 per day for each $100,000 of each Purchaser’s Subscription Amount beginning with the day the information is disclosed to the Purchaser and ending and including the day the Form 8-K disclosing this information is filed; provided that no such liquidated damages shall be owed to any Purchaser not then holding Securities.</w:t>
      </w:r>
    </w:p>
    <w:p>
      <w:pPr>
        <w:pStyle w:val="TextBody"/>
        <w:bidi w:val="0"/>
        <w:spacing w:before="0" w:after="0"/>
        <w:ind w:left="0" w:right="0" w:firstLine="72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shall use the net proceeds from the sale of Securities hereunder at the Initial Closing for working capital purposes and shall not use such proceeds: (a) for the satisfaction of any debt, (b) for the redemption of any Common Stock or Common Stock Equivalents, (c) for the settlement of any outstanding litigation, (d) in violation of FCPA or OFAC regulations, (e) to lend money, give credit, or make advances to any officers, directors, employees or affiliates of the Company or (f) for the purchase of real estate.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val="false"/>
          <w:caps w:val="false"/>
          <w:smallCaps w:val="false"/>
          <w:sz w:val="20"/>
          <w:u w:val="single"/>
        </w:rPr>
        <w:t>Indemnification of the Purchasers</w:t>
      </w:r>
      <w:r>
        <w:rPr>
          <w:rFonts w:ascii="Times New Roman;Times;Serif" w:hAnsi="Times New Roman;Times;Serif"/>
          <w:b w:val="false"/>
          <w:i w:val="false"/>
          <w:caps w:val="false"/>
          <w:smallCaps w:val="false"/>
          <w:sz w:val="20"/>
        </w:rPr>
        <w:t xml:space="preserve">. Subject to the provisions of this </w:t>
      </w:r>
      <w:r>
        <w:rPr>
          <w:rFonts w:ascii="Times New Roman;Times;Serif" w:hAnsi="Times New Roman;Times;Serif"/>
          <w:b w:val="false"/>
          <w:i w:val="false"/>
          <w:caps w:val="false"/>
          <w:smallCaps w:val="false"/>
          <w:sz w:val="20"/>
          <w:u w:val="single"/>
        </w:rPr>
        <w:t>Section 4.8</w:t>
      </w:r>
      <w:r>
        <w:rPr>
          <w:rFonts w:ascii="Times New Roman;Times;Serif" w:hAnsi="Times New Roman;Times;Serif"/>
          <w:b w:val="false"/>
          <w:i w:val="false"/>
          <w:caps w:val="false"/>
          <w:smallCaps w:val="false"/>
          <w:sz w:val="20"/>
        </w:rPr>
        <w:t>, the Company will indemnify and hold the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Times;Serif" w:hAnsi="Times New Roman;Times;Serif"/>
          <w:b/>
          <w:i w:val="false"/>
          <w:caps w:val="false"/>
          <w:smallCaps w:val="false"/>
          <w:sz w:val="20"/>
        </w:rPr>
        <w:t>Purchaser Party</w:t>
      </w:r>
      <w:r>
        <w:rPr>
          <w:rFonts w:ascii="Times New Roman;Times;Serif" w:hAnsi="Times New Roman;Times;Serif"/>
          <w:b w:val="false"/>
          <w:i w:val="false"/>
          <w:caps w:val="false"/>
          <w:smallCaps w:val="false"/>
          <w:sz w:val="20"/>
        </w:rPr>
        <w:t xml:space="preserve">”) harmless from any and all losses, liabilities, obligations, claims, contingencies, damages, costs and expenses, including all judgments, amounts paid in settlements, court costs and reasonable attorneys ‘fees and costs of investigation (including local counsel, if retained)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shareholder of the Company who is not an Affiliate of such Purchaser Party, with respect to any of the transactions contemplated by the Transaction Documents (unless such action is based upon a breach of such Purchaser Party’s representations, warranties or covenants under the Transaction Documents or any agreements or understandings such Purchaser Party may have with any such shareholder or any conduct by such Purchaser Party which constitutes willful misconduct or gross negligence).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to the Purchaser Party, a material conflict on any material issue between the position of the Company and the position of such Purchaser Party, in which case the Company shall be responsible for the reasonable fees and expenses of no more than one such separate counsel for such Purchaser (in addition to local counsel, if retained).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The Purchaser Parties shall have the right to settle any action against any of them by the payment of money provided that they cannot agree to any equitable relief and the Company, its officers, directors and Affiliates receive unconditional releases in customary form. The indemnification required by this </w:t>
      </w:r>
      <w:r>
        <w:rPr>
          <w:rFonts w:ascii="Times New Roman;Times;Serif" w:hAnsi="Times New Roman;Times;Serif"/>
          <w:b w:val="false"/>
          <w:i w:val="false"/>
          <w:caps w:val="false"/>
          <w:smallCaps w:val="false"/>
          <w:sz w:val="20"/>
          <w:u w:val="single"/>
        </w:rPr>
        <w:t>Section 4.8</w:t>
      </w:r>
      <w:r>
        <w:rPr>
          <w:rFonts w:ascii="Times New Roman;Times;Serif" w:hAnsi="Times New Roman;Times;Serif"/>
          <w:b w:val="false"/>
          <w:i w:val="false"/>
          <w:caps w:val="false"/>
          <w:smallCaps w:val="false"/>
          <w:sz w:val="20"/>
        </w:rPr>
        <w:t xml:space="preserve">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pStyle w:val="TextBody"/>
        <w:bidi w:val="0"/>
        <w:spacing w:before="0" w:after="0"/>
        <w:ind w:left="0" w:right="0" w:firstLine="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4.9. </w:t>
      </w:r>
      <w:r>
        <w:rPr>
          <w:rFonts w:ascii="Times New Roman;Times;Serif" w:hAnsi="Times New Roman;Times;Serif"/>
          <w:b w:val="false"/>
          <w:i w:val="false"/>
          <w:caps w:val="false"/>
          <w:smallCaps w:val="false"/>
          <w:sz w:val="20"/>
          <w:u w:val="single"/>
        </w:rPr>
        <w:t>Reservation of Common Stock</w:t>
      </w:r>
      <w:r>
        <w:rPr>
          <w:rFonts w:ascii="Times New Roman;Times;Serif" w:hAnsi="Times New Roman;Times;Serif"/>
          <w:b w:val="false"/>
          <w:i w:val="false"/>
          <w:caps w:val="false"/>
          <w:smallCaps w:val="false"/>
          <w:sz w:val="20"/>
        </w:rPr>
        <w:t>. Immediately upon the Closing, the Company shall reserve from its duly authorized and unissued Common Stock a number of shares equal to the sum of (i) the number of shares of Common Stock then issuable upon exercise of all the Pre-Funded Warrants and (ii) the number of shares of Common Stock then issuable upon exercise of all the Common Warrants (the “</w:t>
      </w:r>
      <w:r>
        <w:rPr>
          <w:rFonts w:ascii="Times New Roman;Times;Serif" w:hAnsi="Times New Roman;Times;Serif"/>
          <w:b/>
          <w:i w:val="false"/>
          <w:caps w:val="false"/>
          <w:smallCaps w:val="false"/>
          <w:sz w:val="20"/>
        </w:rPr>
        <w:t>Reserved Amount</w:t>
      </w:r>
      <w:r>
        <w:rPr>
          <w:rFonts w:ascii="Times New Roman;Times;Serif" w:hAnsi="Times New Roman;Times;Serif"/>
          <w:b w:val="false"/>
          <w:i w:val="false"/>
          <w:caps w:val="false"/>
          <w:smallCaps w:val="false"/>
          <w:sz w:val="20"/>
        </w:rPr>
        <w:t xml:space="preserve">”). The Company shall execute, and shall cause its transfer agent to execute and deliver, a reservation letter in the form attached hereto as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and shall take all necessary action to ensure the Reserved Amount is maintained at all times until the Pre-Funded Warrants and the Common Warrants have been exercised in full.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4.10. </w:t>
      </w:r>
      <w:r>
        <w:rPr>
          <w:rFonts w:ascii="Times New Roman;Times;Serif" w:hAnsi="Times New Roman;Times;Serif"/>
          <w:b w:val="false"/>
          <w:i w:val="false"/>
          <w:caps w:val="false"/>
          <w:smallCaps w:val="false"/>
          <w:sz w:val="20"/>
          <w:u w:val="single"/>
        </w:rPr>
        <w:t>Listing of Common Stock</w:t>
      </w:r>
      <w:r>
        <w:rPr>
          <w:rFonts w:ascii="Times New Roman;Times;Serif" w:hAnsi="Times New Roman;Times;Serif"/>
          <w:b w:val="false"/>
          <w:i w:val="false"/>
          <w:caps w:val="false"/>
          <w:smallCaps w:val="false"/>
          <w:sz w:val="20"/>
        </w:rPr>
        <w:t>. The Company hereby agrees to use its reasonable best efforts to maintain the listing or quotation of the Common Stock on the Principal Market on which it is currently listed or quoted. The Company will then take all action necessary to continue the listing and trading of its Common Stock on a Principal Market and will comply in all respects with the Company’s reporting, filing and other obligations under the bylaws or rules of the Principal Market. The Company agrees to maintain the eligibility of the Common Stock for electronic transfer through the DTC or another established clearing corporation, including, without limitation, by timely payment of fees to the DTC or such other established clearing corporation in connection with such electronic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4.11. </w:t>
      </w:r>
      <w:r>
        <w:rPr>
          <w:rFonts w:ascii="Times New Roman;Times;Serif" w:hAnsi="Times New Roman;Times;Serif"/>
          <w:b w:val="false"/>
          <w:i w:val="false"/>
          <w:caps w:val="false"/>
          <w:smallCaps w:val="false"/>
          <w:sz w:val="20"/>
          <w:u w:val="single"/>
        </w:rPr>
        <w:t>Equal Treatment of Purchasers</w:t>
      </w:r>
      <w:r>
        <w:rPr>
          <w:rFonts w:ascii="Times New Roman;Times;Serif" w:hAnsi="Times New Roman;Times;Serif"/>
          <w:b w:val="false"/>
          <w:i w:val="false"/>
          <w:caps w:val="false"/>
          <w:smallCaps w:val="false"/>
          <w:sz w:val="20"/>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pStyle w:val="TextBody"/>
        <w:bidi w:val="0"/>
        <w:spacing w:before="0" w:after="0"/>
        <w:ind w:left="0" w:right="0" w:firstLine="72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4.12.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xml:space="preserve">.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Each Purchaser, severally and not jointly with the other Purchasers, covenants that until such time as the transactions contemplated by this Agreement are publicly disclosed by the Company pursuant to the initial press release as described in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such Purchaser will maintain the confidentiality of the existence and terms of this transaction and the information included in the Disclosure Schedules.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and (iii) no Purchaser shall have any duty of confidentiality or duty not to trade in the securities of the Company to the Company or its Subsidiaries after the issuance of the initial press release as described in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4.13. </w:t>
      </w:r>
      <w:r>
        <w:rPr>
          <w:rFonts w:ascii="Times New Roman;Times;Serif" w:hAnsi="Times New Roman;Times;Serif"/>
          <w:b w:val="false"/>
          <w:i w:val="false"/>
          <w:caps w:val="false"/>
          <w:smallCaps w:val="false"/>
          <w:sz w:val="20"/>
          <w:u w:val="single"/>
        </w:rPr>
        <w:t>Preservation of Corporate Existence</w:t>
      </w:r>
      <w:r>
        <w:rPr>
          <w:rFonts w:ascii="Times New Roman;Times;Serif" w:hAnsi="Times New Roman;Times;Serif"/>
          <w:b w:val="false"/>
          <w:i w:val="false"/>
          <w:caps w:val="false"/>
          <w:smallCaps w:val="false"/>
          <w:sz w:val="20"/>
        </w:rPr>
        <w:t>. The Company shall preserve and maintain its corporate existence, rights, privileges and franchises in the jurisdiction of its incorporation, and qualify and remain qualified, as a foreign corporation in each jurisdiction in which such qualification is necessary in view of its business or operations and where the failure to qualify or remain qualified might reasonably have a Material Adverse Effect upon the financial condition, business or operations of the Company taken as a whole.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4.17. </w:t>
      </w:r>
      <w:r>
        <w:rPr>
          <w:rFonts w:ascii="Times New Roman;Times;Serif" w:hAnsi="Times New Roman;Times;Serif"/>
          <w:b w:val="false"/>
          <w:i w:val="false"/>
          <w:caps w:val="false"/>
          <w:smallCaps w:val="false"/>
          <w:sz w:val="20"/>
          <w:u w:val="single"/>
        </w:rPr>
        <w:t>No Registration of Securities</w:t>
      </w:r>
      <w:r>
        <w:rPr>
          <w:rFonts w:ascii="Times New Roman;Times;Serif" w:hAnsi="Times New Roman;Times;Serif"/>
          <w:b w:val="false"/>
          <w:i w:val="false"/>
          <w:caps w:val="false"/>
          <w:smallCaps w:val="false"/>
          <w:sz w:val="20"/>
        </w:rPr>
        <w:t xml:space="preserve">. Except as disclosed on </w:t>
      </w:r>
      <w:r>
        <w:rPr>
          <w:rFonts w:ascii="Times New Roman;Times;Serif" w:hAnsi="Times New Roman;Times;Serif"/>
          <w:b w:val="false"/>
          <w:i w:val="false"/>
          <w:caps w:val="false"/>
          <w:smallCaps w:val="false"/>
          <w:sz w:val="20"/>
          <w:u w:val="single"/>
        </w:rPr>
        <w:t>Schedule 4.18</w:t>
      </w:r>
      <w:r>
        <w:rPr>
          <w:rFonts w:ascii="Times New Roman;Times;Serif" w:hAnsi="Times New Roman;Times;Serif"/>
          <w:b w:val="false"/>
          <w:i w:val="false"/>
          <w:caps w:val="false"/>
          <w:smallCaps w:val="false"/>
          <w:sz w:val="20"/>
        </w:rPr>
        <w:t>, while any Securities are outstanding, the Company will not file any registration statements to register sales of Common Stock, including shares underlying any derivative securities, unless a registration statement is then in effect for the resale by the Purchasers of the Shares and the Warrant Shares.</w:t>
      </w:r>
    </w:p>
    <w:p>
      <w:pPr>
        <w:pStyle w:val="TextBody"/>
        <w:bidi w:val="0"/>
        <w:spacing w:before="0" w:after="0"/>
        <w:ind w:left="0" w:right="0" w:firstLine="1"/>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4.18. </w:t>
      </w:r>
      <w:r>
        <w:rPr>
          <w:rFonts w:ascii="Times New Roman;Times;Serif" w:hAnsi="Times New Roman;Times;Serif"/>
          <w:b w:val="false"/>
          <w:i w:val="false"/>
          <w:caps w:val="false"/>
          <w:smallCaps w:val="false"/>
          <w:sz w:val="20"/>
          <w:u w:val="single"/>
        </w:rPr>
        <w:t>Form D; Blue Sky Filings</w:t>
      </w:r>
      <w:r>
        <w:rPr>
          <w:rFonts w:ascii="Times New Roman;Times;Serif" w:hAnsi="Times New Roman;Times;Serif"/>
          <w:b w:val="false"/>
          <w:i w:val="false"/>
          <w:caps w:val="false"/>
          <w:smallCaps w:val="false"/>
          <w:sz w:val="20"/>
        </w:rPr>
        <w:t>. The Company shall take such actions as it reasonably determines are necessary to qualify the Securities for sale to the Purchasers, or to secure an exemption from such qualification, under applicable state securities or “Blue Sky” laws of the jurisdictions in which offers and sales of the Securities are made, and shall furnish evidence of such actions promptly upon request of any Purchaser. The Company shall file, or cause to be filed, a Form D with the SEC with respect to the Securities as required under Regulation D promulgated under the Securities Act, and shall provide a copy of such filing to the Purchasers upon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4.19. </w:t>
      </w:r>
      <w:r>
        <w:rPr>
          <w:rFonts w:ascii="Times New Roman;Times;Serif" w:hAnsi="Times New Roman;Times;Serif"/>
          <w:b w:val="false"/>
          <w:i w:val="false"/>
          <w:caps w:val="false"/>
          <w:smallCaps w:val="false"/>
          <w:sz w:val="20"/>
          <w:u w:val="single"/>
        </w:rPr>
        <w:t>Prohibition on Variable Rate Transactions and ATM Offerings and other Equity Issuances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From the date hereof until the date that is sixty (60) days after the Effective Date (as defined in the Registration Rights Agreement) of the initial Registration Statement covering the resale of the Shares, the Pre-Funded Warrant Shares and the Common Warrant Shares, neither the Company nor any Subsidiary shall, directly or indirectly, effect or enter into any agreement to effect any issuance by the Company or any of its Subsidiaries of Common Stock or Common Stock Equivalents (or a combination of units thereof) involving a Variable Rate Transaction, (b) any “at-the-market offering” (as defined in Rule 415(a)(4) under the Securities Act), equity line of credit, standby equity purchase agreement or other similar continuous offering arrangement of Common Stock or Common Stock Equivalents pursuant to which the Company may sell Common Stock or Common Stock Equivalents from time to time at a future-determined price, or (c) any other issuance of Common Stock or Common Stock Equivalents. Any agreement entered into in violation of this Section 4.19 shall be deemed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xml:space="preserve"> with respect to the Purchasers, and each Purchaser shall be entitled to obtain injunctive relief against the Company to preclude any such issuance, which remedy shall be in addition to any right to collect damages.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4.20. </w:t>
      </w:r>
      <w:r>
        <w:rPr>
          <w:rFonts w:ascii="Times New Roman;Times;Serif" w:hAnsi="Times New Roman;Times;Serif"/>
          <w:b w:val="false"/>
          <w:i w:val="false"/>
          <w:caps w:val="false"/>
          <w:smallCaps w:val="false"/>
          <w:sz w:val="20"/>
          <w:u w:val="single"/>
        </w:rPr>
        <w:t>Lock-Up Agreements; Company Standstill</w:t>
      </w:r>
      <w:r>
        <w:rPr>
          <w:rFonts w:ascii="Times New Roman;Times;Serif" w:hAnsi="Times New Roman;Times;Serif"/>
          <w:b w:val="false"/>
          <w:i w:val="false"/>
          <w:caps w:val="false"/>
          <w:smallCaps w:val="false"/>
          <w:sz w:val="20"/>
        </w:rPr>
        <w:t>. The Company shall cause each of its directors, executive officers, holders of five percent (5%) or more of the Company’s outstanding Common Stock, and the other Persons set forth on Schedule B hereto to execute and deliver to the Purchasers the Lock-Up Agreements, pursuant to which each such Person shall agree not to, directly or indirectly, offer, sell, contract to sell, grant any option to purchase, or otherwise dispose of any shares of the Company’s securities during the six (6) month period following the Closing Date, subject to customary exceptions. In addition, the Company hereby agrees that it shall not, directly or indirectly, offer, sell, contract to sell, issue, or otherwise dispose of any shares of the Company’s securities during the sixty (60) day period following the Effective Date, subject to customary exceptions. The Company shall not amend, modify, waive or terminate any provision of any of the Lock-Up Agreements except to extend the term of the lock-up period and shall enforce the provisions of each Lock-Up Agreement in accordance with its terms. If any party to a Lock-Up Agreement breaches any provision of a Lock-Up Agreement, the Company shall promptly use its best efforts to seek specific performance of the terms of such Lock-Up Agreement.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4.21. </w:t>
      </w:r>
      <w:r>
        <w:rPr>
          <w:rFonts w:ascii="Times New Roman;Times;Serif" w:hAnsi="Times New Roman;Times;Serif"/>
          <w:b w:val="false"/>
          <w:i w:val="false"/>
          <w:caps w:val="false"/>
          <w:smallCaps w:val="false"/>
          <w:sz w:val="20"/>
          <w:u w:val="single"/>
        </w:rPr>
        <w:t>Exercise Procedures.</w:t>
      </w:r>
      <w:r>
        <w:rPr>
          <w:rFonts w:ascii="Times New Roman;Times;Serif" w:hAnsi="Times New Roman;Times;Serif"/>
          <w:b w:val="false"/>
          <w:i w:val="false"/>
          <w:caps w:val="false"/>
          <w:smallCaps w:val="false"/>
          <w:sz w:val="20"/>
        </w:rPr>
        <w:t xml:space="preserve"> The form of Notice of Exercise included in the Pre-Funded Warrants and the Common Warrants sets forth the totality of the procedures required of the Purchasers in order to exercise the Pre-Funded Warrants and the Common Warrants. No additional legal opinion, other information or instructions shall be required of the Purchasers to exercise the Pre-Funded Warrants or the Common Warrants. Without limiting the preceding sentences, no ink-original Notice of Exercise shall be required, nor shall any medallion guarantee (or other type of guarantee or notarization) of any Notice of Exercise form be required in order to exercise the Pre-Funded Warrants or the Common Warrants. The Company shall honor exercises of the Pre-Funded Warrants and the Common Warrants and shall deliver Warrant Shares in accordance with the terms, conditions and time periods set forth in the Transaction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4.22. </w:t>
      </w:r>
      <w:r>
        <w:rPr>
          <w:rFonts w:ascii="Times New Roman;Times;Serif" w:hAnsi="Times New Roman;Times;Serif"/>
          <w:b w:val="false"/>
          <w:i w:val="false"/>
          <w:caps w:val="false"/>
          <w:smallCaps w:val="false"/>
          <w:sz w:val="20"/>
          <w:u w:val="single"/>
        </w:rPr>
        <w:t>Stockholder Approval.</w:t>
      </w:r>
      <w:r>
        <w:rPr>
          <w:rFonts w:ascii="Times New Roman;Times;Serif" w:hAnsi="Times New Roman;Times;Serif"/>
          <w:b w:val="false"/>
          <w:i w:val="false"/>
          <w:caps w:val="false"/>
          <w:smallCaps w:val="false"/>
          <w:sz w:val="20"/>
        </w:rPr>
        <w:t xml:space="preserve"> The Company shall use commercially reasonable efforts to hold a special meeting of its stockholders on or prior to ninety (90) days after the Closing Date for the purpose of obtaining Stockholder Approval with respect to the issuance of the Common Warrants, with the recommendation of the Company’s Board of Directors that such proposal be approved, and the Company shall solicit proxies from its stockholders in connection therewith in the same manner as all other management proposals in such proxy statement and all management-appointed proxyholders shall vote their proxies in favor of such proposal. If the Company does not obtain Stockholder Approval at such special meeting of the stockholders, the Company shall seek such Stockholder Approval at the next meeting of stockholders at which the Company is seeking approval of other business matters or, if earlier, at the Company’s next annual meeting of stockholders, and if the Company does not obtain Stockholder Approval at such meeting, the Company shall call a special meeting every sixty (60) days thereafter to seek such Stockholder Approval until the date on which Stockholder Approval is obtained or the date that is five and one-half (5.5) years after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September 23, 2026;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such termination will affect the right of any party to sue for any breach by any other party (or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xml:space="preserve">. Except as expressly set forth in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and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pStyle w:val="TextBody"/>
        <w:bidi w:val="0"/>
        <w:spacing w:before="0" w:after="0"/>
        <w:ind w:left="0" w:right="0" w:firstLine="72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required or permitted to be provided hereunder shall be in writing and shall be deemed given and effective on the earliest of: (a) the date of transmission, if such notice or communication is delivered via facsimile or email attachment at the facsimile number or email address as set forth on the signature pages attached hereto at or prior to 5:30 p.m. (New York City time) on a Trading Day, (b) the next Trading Day after the date of transmission, if such notice or communication is delivered via facsimile or email attachment at the facsimile number or email address as set forth on the signature pages attached hereto on a day that is not a Trading Day or later than 5:30 p.m. (New York City time) on any Trading Day, (c) the second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pStyle w:val="TextBody"/>
        <w:bidi w:val="0"/>
        <w:spacing w:before="0" w:after="0"/>
        <w:ind w:left="0" w:right="0" w:firstLine="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val="false"/>
          <w:i w:val="false"/>
          <w:caps w:val="false"/>
          <w:smallCaps w:val="false"/>
          <w:sz w:val="20"/>
          <w:u w:val="single"/>
        </w:rPr>
        <w:t>Amendments; Waivers</w:t>
      </w:r>
      <w:r>
        <w:rPr>
          <w:rFonts w:ascii="Times New Roman;Times;Serif" w:hAnsi="Times New Roman;Times;Serif"/>
          <w:b w:val="false"/>
          <w:i w:val="false"/>
          <w:caps w:val="false"/>
          <w:smallCaps w:val="false"/>
          <w:sz w:val="20"/>
        </w:rPr>
        <w:t xml:space="preserve">. Except as provided in the last sentence of this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no provision of this Agreement may be waived, modified, supplemented or amended except in a written instrument signed, in the case of an amendment, by the Company and the Purchaser’s which hold at least 50.1% in interest in the Securities at the time of such amendment or waiver or, in the case of a waiver, by the party against whom enforcement of any such waived provision is sought;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accordance with this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shall be binding upon each Purchaser and holder of Securities and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herein are for convenience only, do not constitute a part of this Agreement and shall not be deemed to limit or affect any of the provisions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xml:space="preserve">. This Agreement is intended for the benefit of the parties hereto and their respective successors and permitted assigns and is not for the benefit of, nor may any provision hereof be enforced by, any other Person, except as otherwise set forth in </w:t>
      </w:r>
      <w:r>
        <w:rPr>
          <w:rFonts w:ascii="Times New Roman;Times;Serif" w:hAnsi="Times New Roman;Times;Serif"/>
          <w:b w:val="false"/>
          <w:i w:val="false"/>
          <w:caps w:val="false"/>
          <w:smallCaps w:val="false"/>
          <w:sz w:val="20"/>
          <w:u w:val="single"/>
        </w:rPr>
        <w:t>Section 4.8</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 </w:t>
      </w:r>
      <w:r>
        <w:rPr>
          <w:rFonts w:ascii="Times New Roman;Times;Serif" w:hAnsi="Times New Roman;Times;Serif"/>
          <w:b w:val="false"/>
          <w:i w:val="false"/>
          <w:caps w:val="false"/>
          <w:smallCaps w:val="false"/>
          <w:sz w:val="20"/>
          <w:u w:val="single"/>
        </w:rPr>
        <w:t>Governing Law; Exclusive Jurisdiction; Attorneys’ Fees</w:t>
      </w:r>
      <w:r>
        <w:rPr>
          <w:rFonts w:ascii="Times New Roman;Times;Serif" w:hAnsi="Times New Roman;Times;Serif"/>
          <w:b w:val="false"/>
          <w:i w:val="false"/>
          <w:caps w:val="false"/>
          <w:smallCaps w:val="false"/>
          <w:sz w:val="20"/>
        </w:rPr>
        <w:t>. All questions concerning the construction, validity, enforcement and interpretation of the Transaction Documents shall be governed by and construed and enforced in accordance with the internal laws of the State of Delaware, without regard to the principles of conflicts of law thereof. Each party agrees that all Actions concerning the interpretations, enforcement and defense of the transactions contemplated by this Agreement and any other Transaction Document (whether brought against a party hereto or its respective affiliates, directors, officers, shareholders, partners, members, employees or agents) shall be commenced exclusively in the state and federal courts in New York County, New York. Each party hereby irrevocably submits to the exclusive jurisdiction of the state and federal courts sitting in New York County, New York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any claim that it is not personally subject to the jurisdiction of any such court, that such Action is improper or is an inconvenient venue for such Action. Each party hereby irrevocably waives personal service of process and consents to process being served in any such Action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to enforce any provisions of the Transaction Documents, then, in addition to the obligations of the Company elsewhere in this Agreement, the prevailing party in such Action shall be reimbursed by the non-prevailing party for its reasonable attorneys ‘fees and other costs and expenses incurred with the investigation, preparation and prosecution of such Action.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5.10.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contained herein shall survive the Closing and the delivery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5.11. </w:t>
      </w:r>
      <w:r>
        <w:rPr>
          <w:rFonts w:ascii="Times New Roman;Times;Serif" w:hAnsi="Times New Roman;Times;Serif"/>
          <w:b w:val="false"/>
          <w:i w:val="false"/>
          <w:caps w:val="false"/>
          <w:smallCaps w:val="false"/>
          <w:sz w:val="20"/>
          <w:u w:val="single"/>
        </w:rPr>
        <w:t>Execution</w:t>
      </w:r>
      <w:r>
        <w:rPr>
          <w:rFonts w:ascii="Times New Roman;Times;Serif" w:hAnsi="Times New Roman;Times;Serif"/>
          <w:b w:val="false"/>
          <w:i w:val="false"/>
          <w:caps w:val="false"/>
          <w:smallCaps w:val="false"/>
          <w:sz w:val="20"/>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5.13. </w:t>
      </w:r>
      <w:r>
        <w:rPr>
          <w:rFonts w:ascii="Times New Roman;Times;Serif" w:hAnsi="Times New Roman;Times;Serif"/>
          <w:b w:val="false"/>
          <w:i w:val="false"/>
          <w:caps w:val="false"/>
          <w:smallCaps w:val="false"/>
          <w:sz w:val="20"/>
          <w:u w:val="single"/>
        </w:rPr>
        <w:t>Rescission and Withdrawal Right</w:t>
      </w:r>
      <w:r>
        <w:rPr>
          <w:rFonts w:ascii="Times New Roman;Times;Serif" w:hAnsi="Times New Roman;Times;Serif"/>
          <w:b w:val="false"/>
          <w:i w:val="false"/>
          <w:caps w:val="false"/>
          <w:smallCaps w:val="false"/>
          <w:sz w:val="20"/>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provided, however, that in the case of a rescission of an exercise of a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5.14. </w:t>
      </w:r>
      <w:r>
        <w:rPr>
          <w:rFonts w:ascii="Times New Roman;Times;Serif" w:hAnsi="Times New Roman;Times;Serif"/>
          <w:b w:val="false"/>
          <w:i w:val="false"/>
          <w:caps w:val="false"/>
          <w:smallCaps w:val="false"/>
          <w:sz w:val="20"/>
          <w:u w:val="single"/>
        </w:rPr>
        <w:t>Replacement of Securities</w:t>
      </w:r>
      <w:r>
        <w:rPr>
          <w:rFonts w:ascii="Times New Roman;Times;Serif" w:hAnsi="Times New Roman;Times;Serif"/>
          <w:b w:val="false"/>
          <w:i w:val="false"/>
          <w:caps w:val="false"/>
          <w:smallCaps w:val="false"/>
          <w:sz w:val="20"/>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without requiring the posting of any bond.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5.15.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pStyle w:val="TextBody"/>
        <w:bidi w:val="0"/>
        <w:spacing w:before="0" w:after="0"/>
        <w:ind w:left="0" w:right="0" w:firstLine="72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5.16. </w:t>
      </w:r>
      <w:r>
        <w:rPr>
          <w:rFonts w:ascii="Times New Roman;Times;Serif" w:hAnsi="Times New Roman;Times;Serif"/>
          <w:b w:val="false"/>
          <w:i w:val="false"/>
          <w:caps w:val="false"/>
          <w:smallCaps w:val="false"/>
          <w:sz w:val="20"/>
          <w:u w:val="single"/>
        </w:rPr>
        <w:t>Payment Set Aside</w:t>
      </w:r>
      <w:r>
        <w:rPr>
          <w:rFonts w:ascii="Times New Roman;Times;Serif" w:hAnsi="Times New Roman;Times;Serif"/>
          <w:b w:val="false"/>
          <w:i w:val="false"/>
          <w:caps w:val="false"/>
          <w:smallCaps w:val="false"/>
          <w:sz w:val="20"/>
        </w:rPr>
        <w:t>. To the extent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5.17. </w:t>
      </w:r>
      <w:r>
        <w:rPr>
          <w:rFonts w:ascii="Times New Roman;Times;Serif" w:hAnsi="Times New Roman;Times;Serif"/>
          <w:b w:val="false"/>
          <w:i w:val="false"/>
          <w:caps w:val="false"/>
          <w:smallCaps w:val="false"/>
          <w:sz w:val="20"/>
          <w:u w:val="single"/>
        </w:rPr>
        <w:t>Independent Nature of Purchasers’ Obligations and Rights</w:t>
      </w:r>
      <w:r>
        <w:rPr>
          <w:rFonts w:ascii="Times New Roman;Times;Serif" w:hAnsi="Times New Roman;Times;Serif"/>
          <w:b w:val="false"/>
          <w:i w:val="false"/>
          <w:caps w:val="false"/>
          <w:smallCaps w:val="false"/>
          <w:sz w:val="20"/>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5.18. </w:t>
      </w:r>
      <w:r>
        <w:rPr>
          <w:rFonts w:ascii="Times New Roman;Times;Serif" w:hAnsi="Times New Roman;Times;Serif"/>
          <w:b w:val="false"/>
          <w:i w:val="false"/>
          <w:caps w:val="false"/>
          <w:smallCaps w:val="false"/>
          <w:sz w:val="20"/>
          <w:u w:val="single"/>
        </w:rPr>
        <w:t>Liquidated Damages</w:t>
      </w:r>
      <w:r>
        <w:rPr>
          <w:rFonts w:ascii="Times New Roman;Times;Serif" w:hAnsi="Times New Roman;Times;Serif"/>
          <w:b w:val="false"/>
          <w:i w:val="false"/>
          <w:caps w:val="false"/>
          <w:smallCaps w:val="false"/>
          <w:sz w:val="20"/>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pStyle w:val="TextBody"/>
        <w:bidi w:val="0"/>
        <w:spacing w:before="0" w:after="0"/>
        <w:ind w:left="0" w:right="0" w:firstLine="72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5.19.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xml:space="preserve"> If the last or appointed day for the taking of any action or the expiration of any right required or granted herein shall not be a Trading Day, then such action may be taken or such right may be exercised on the next succeeding Trading Day.</w:t>
      </w:r>
    </w:p>
    <w:p>
      <w:pPr>
        <w:pStyle w:val="TextBody"/>
        <w:bidi w:val="0"/>
        <w:spacing w:before="0" w:after="0"/>
        <w:ind w:left="0" w:right="0" w:firstLine="72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5.20.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pStyle w:val="TextBody"/>
        <w:bidi w:val="0"/>
        <w:spacing w:before="0" w:after="0"/>
        <w:ind w:left="0" w:right="0" w:firstLine="72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5.21. </w:t>
      </w:r>
      <w:r>
        <w:rPr>
          <w:rFonts w:ascii="Times New Roman;Times;Serif" w:hAnsi="Times New Roman;Times;Serif"/>
          <w:b/>
          <w:i w:val="false"/>
          <w:caps w:val="false"/>
          <w:smallCaps w:val="false"/>
          <w:sz w:val="20"/>
          <w:u w:val="single"/>
        </w:rPr>
        <w:t>WAIVER OF JURY TRIAL</w:t>
      </w:r>
      <w:r>
        <w:rPr>
          <w:rFonts w:ascii="Times New Roman;Times;Serif" w:hAnsi="Times New Roman;Times;Serif"/>
          <w:b/>
          <w:i w:val="false"/>
          <w:caps w:val="false"/>
          <w:smallCaps w:val="false"/>
          <w:sz w:val="20"/>
        </w:rPr>
        <w:t>. IN ANY ACTION, SUIT, OR PROCEEDING IN ANY JURISDICTION BROUGHT BY ANY PARTY AGAINST ANY OTHER PARTY, THE PARTIES EACH KNOWINGLY AND INTENTIONALLY, TO THE GREATEST EXTENT PERMITTED BY APPLICABLE LAW, HEREBY ABSOLUTELY, UNCONDITIONALLY, IRREVOCABLY AND EXPRESSLY WAIVE FOREVER TRIAL BY JURY</w:t>
      </w:r>
      <w:r>
        <w:rPr>
          <w:rFonts w:ascii="Times New Roman;Times;Serif" w:hAnsi="Times New Roman;Times;Serif"/>
          <w:b w:val="false"/>
          <w:i w:val="false"/>
          <w:caps w:val="false"/>
          <w:smallCaps w:val="false"/>
          <w:sz w:val="20"/>
        </w:rPr>
        <w:t>.</w:t>
      </w:r>
    </w:p>
    <w:p>
      <w:pPr>
        <w:pStyle w:val="TextBody"/>
        <w:bidi w:val="0"/>
        <w:spacing w:before="0" w:after="0"/>
        <w:ind w:left="0" w:right="0" w:firstLine="71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parties hereto agree that any action, proceeding or claim arising out of or relating in any way to this Agreement or the other Transaction Documents shall be resolved through final and binding arbitration in accordance with the Commercial Arbitration Rules of the American Arbitration Association.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5.22. </w:t>
      </w:r>
      <w:r>
        <w:rPr>
          <w:rFonts w:ascii="Times New Roman;Times;Serif" w:hAnsi="Times New Roman;Times;Serif"/>
          <w:b w:val="false"/>
          <w:i w:val="false"/>
          <w:caps w:val="false"/>
          <w:smallCaps w:val="false"/>
          <w:sz w:val="20"/>
          <w:u w:val="single"/>
        </w:rPr>
        <w:t>Non-Circumvention</w:t>
      </w:r>
      <w:r>
        <w:rPr>
          <w:rFonts w:ascii="Times New Roman;Times;Serif" w:hAnsi="Times New Roman;Times;Serif"/>
          <w:b w:val="false"/>
          <w:i w:val="false"/>
          <w:caps w:val="false"/>
          <w:smallCaps w:val="false"/>
          <w:sz w:val="20"/>
        </w:rPr>
        <w:t>. The Company hereby covenants and agrees that the Company will not, by amendment of its Charter, including any Certificates of Designation, or Bylaws or through any reorganization, transfer of assets, consolidation, merger, scheme of arrangement, dissolution, issue or sale of securities, or any other voluntary action, avoid or seek to avoid the observance or performance of any of the terms of this Agreement, and will at all times in good faith carry out all of the provision of this Agreement and take all action as may be required to protect the rights of all holders of the Securities. Without limiting the generality of the foregoing or any other provision of this Agreement or the other Transaction Documents, the Company (a) shall not increase the par value of any shares of Common Stock receivable upon exercise of the Pre-Funded Warrants or the Common Warrants above the exercise price of the Pre-Funded Warrants or the Common Warrants, as applicable, then in effect and (b) shall take all such action as may be necessary or appropriate in order that the Company may validly and legally issue fully paid and nonassessable Warrant Shares upon the exercise of the Pre-Funded Warrants and the Common Warrants. Notwithstanding anything herein to the contrary, if after six months from the Initial Closing, a holder is not permitted to exercise the Pre-Funded Warrants or the Common Warrants, in full, for any reason, the Company shall use its best efforts to promptly remedy such failure, including, without limitation, obtaining such consent or approvals as necessary to permit such exercise.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Securities Purchase Agreement to be duly executed by their respective authorized signatories as of the date first indicated above.</w:t>
      </w:r>
    </w:p>
    <w:p>
      <w:pPr>
        <w:pStyle w:val="TextBody"/>
        <w:bidi w:val="0"/>
        <w:spacing w:before="0" w:after="0"/>
        <w:ind w:left="0" w:right="0" w:firstLine="720"/>
        <w:jc w:val="both"/>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2105"/>
        <w:gridCol w:w="3110"/>
      </w:tblGrid>
      <w:tr>
        <w:trPr/>
        <w:tc>
          <w:tcPr>
            <w:tcW w:w="21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HCW BIOLOGICS INC.</w:t>
            </w:r>
          </w:p>
        </w:tc>
        <w:tc>
          <w:tcPr>
            <w:tcW w:w="3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Address for Notice:</w:t>
            </w:r>
          </w:p>
        </w:tc>
      </w:tr>
      <w:tr>
        <w:trPr/>
        <w:tc>
          <w:tcPr>
            <w:tcW w:w="2105" w:type="dxa"/>
            <w:tcBorders/>
            <w:vAlign w:val="center"/>
          </w:tcPr>
          <w:p>
            <w:pPr>
              <w:pStyle w:val="TableContents"/>
              <w:bidi w:val="0"/>
              <w:spacing w:before="0" w:after="283"/>
              <w:jc w:val="left"/>
              <w:rPr>
                <w:caps w:val="false"/>
                <w:smallCaps w:val="false"/>
              </w:rPr>
            </w:pPr>
            <w:r>
              <w:rPr>
                <w:caps w:val="false"/>
                <w:smallCaps w:val="false"/>
              </w:rPr>
              <w:t> </w:t>
            </w:r>
          </w:p>
        </w:tc>
        <w:tc>
          <w:tcPr>
            <w:tcW w:w="31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05" w:type="dxa"/>
            <w:tcBorders/>
            <w:vAlign w:val="center"/>
          </w:tcPr>
          <w:p>
            <w:pPr>
              <w:pStyle w:val="TableContents"/>
              <w:bidi w:val="0"/>
              <w:spacing w:before="0" w:after="283"/>
              <w:jc w:val="left"/>
              <w:rPr>
                <w:caps w:val="false"/>
                <w:smallCaps w:val="false"/>
              </w:rPr>
            </w:pPr>
            <w:r>
              <w:rPr>
                <w:caps w:val="false"/>
                <w:smallCaps w:val="false"/>
              </w:rPr>
              <w:t> </w:t>
            </w:r>
          </w:p>
        </w:tc>
        <w:tc>
          <w:tcPr>
            <w:tcW w:w="311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HCW Biologics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2929 N. Commerce Pkwy.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Miramar, FL 33025</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Hing C. Wong, Ph.D.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hingwong@hcwbiologics.com</w:t>
            </w:r>
          </w:p>
        </w:tc>
      </w:tr>
    </w:tbl>
    <w:p>
      <w:pPr>
        <w:pStyle w:val="TextBody"/>
        <w:bidi w:val="0"/>
        <w:spacing w:before="0" w:after="0"/>
        <w:ind w:left="0" w:right="0" w:hanging="0"/>
        <w:jc w:val="both"/>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605"/>
        <w:gridCol w:w="1940"/>
        <w:gridCol w:w="75"/>
      </w:tblGrid>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4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Hing C. Wong, Ph.D.</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1"/>
        <w:jc w:val="both"/>
        <w:rPr>
          <w:caps w:val="false"/>
          <w:smallCaps w:val="false"/>
        </w:rPr>
      </w:pPr>
      <w:r>
        <w:rPr>
          <w:caps w:val="false"/>
          <w:smallCaps w:val="false"/>
        </w:rPr>
        <w:t> </w:t>
      </w:r>
    </w:p>
    <w:p>
      <w:pPr>
        <w:pStyle w:val="TextBody"/>
        <w:bidi w:val="0"/>
        <w:spacing w:before="0" w:after="0"/>
        <w:ind w:left="0" w:right="0" w:hanging="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0" w:right="0" w:hanging="1"/>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Clark Hill PLC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 E. Randolph, Suite 3900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IL 60601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Jim Groth, Esq.</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jgroth@clarkhill.com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FOR PURCHASER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Company Signature Page to Securities 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Securities Purchase Agreement to be duly executed by their respective authorized signatories as of the date first indicated above.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Purchaser: 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Purchaser</w:t>
      </w:r>
      <w:r>
        <w:rPr>
          <w:rFonts w:ascii="Times New Roman;Times;Serif" w:hAnsi="Times New Roman;Times;Serif"/>
          <w:b w:val="false"/>
          <w:i w:val="false"/>
          <w:caps w:val="false"/>
          <w:smallCaps w:val="false"/>
          <w:sz w:val="20"/>
        </w:rPr>
        <w:t>: 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of Authorized Signatory: 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Number of Authorized Signatory: 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 to Purchaser: 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Delivery of Securities to Purchaser (if not same as address for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Amount: $ 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________________________ Pre-Funded Warrants (in lieu of Shares): 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 Common Stock Purchase Warrants exercisable into _____________shares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Purchase Price: $________________________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EIN Number: 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Purchaser Signature Page to Securities 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Pre-Funded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Registration Rights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Common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Reservation Letter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Lockup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Parties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Disclosure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ind w:left="0" w:right="0" w:hanging="0"/>
        <w:jc w:val="center"/>
        <w:rPr/>
      </w:pPr>
      <w:bookmarkStart w:id="29" w:name="ex10-2.htm"/>
      <w:bookmarkStart w:id="30" w:name="ksex102"/>
      <w:bookmarkEnd w:id="29"/>
      <w:bookmarkEnd w:id="30"/>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REGISTRATION RIGHTS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Rights Agreement (this “Agreement”) is made and entered into as of September 23, 2026 between HCW Biologics Inc., a Delaware corporation (the “Company”), and each purchaser appearing on the signature page to the Purchase Agreement (as defined below) (each such purchaser, a “Purchaser” and, collectively, the “Purchasers”).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and the Purchasers are parties to that certain Securities Purchase Agreement, dated as of the date of this Agreement (the “Purchase Agreement”), pursuant to which the Purchasers are purchasing (i) shares of Common Stock (the “Shares”), (ii) Pre-Funded Warrants (the “Pre-Funded Warrants”) to purchase shares of Common Stock (the “Pre-Funded Warrant Shares”), and (iii) Common Stock Purchase Warrants (the “Common Warrants”) to purchase shares of Common Stock (the “Common Warrant Shares” and together with the Pre-Funded Warrant Shares, the “Warrant Shares”) of the Company;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connection with the consummation of the transactions contemplated by the Purchase Agreement, and pursuant to the terms of the Purchase Agreement, the parties desire to enter into this Agreement in order to grant certain registration rights to the Purchasers as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mutual and dependent covenants hereinafter set forth, the parties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As used in this Agreement, the following terms shall have the following meanings: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Advice” shall have the meaning set forth in Section 6(d).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Agreement” shall have the meaning set forth in the Preamble.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CDI 612.09” means Section 612.09 of the Commission’s Compliance and Disclosure Interpretations.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Closing” means the closing of the purchase and sale of the Shares, the Pre-Funded Warrants and the Common Warrants pursuant to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Commission” means the U.S.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Common Stock” means the Company’s common stock, par value $0.0001 per share, and any other class of securities into which such securities may hereafter be reclassified or changed into.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Company” shall have the meaning set forth in the Preamble.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Effectiveness Date” means, with respect to the Initial Registration Statement required to be filed hereunder or any other Registration Statement, sixty (60) days following the Closing; provided, however, that (x) in the event the Company is notified by the Commission that one or more of the Registration Statements will not be reviewed or is no longer subject to further review and comments, the Effectiveness Date as to such Registration Statement shall be the earlier of (A) the fifth Trading Day following the date on which the Company is so notified, and (B) the thirtieth (30th) Trading Day following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Effectiveness Period” shall have the meaning set forth in Section 2(a).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Event” shall have the meaning set forth in Section 2(b).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Event Date” shall have the meaning set forth in Section 2(b).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Exchange Act” means the Securities Exchange Act of 1934.</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Filing Date” means, with respect to the Initial Registration Statement required hereunder, fifteen (15) Trading Days following the Closing, provided, however, that such 15-day period shall be extended on a day-for-day basis for each Trading Day during which the Holders are reviewing such Registration Statement pursuant to Section 3(a), and with respect to any additional Registration Statements which may be required pursuant to this Agreement, the earliest practical date on which the Company is permitted by SEC Guidance to file such additional Registration Statements related to the Registrable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Holder” or “Holders” means the holder or holders, as the case may be, from time to time of Registrable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Indemnified Party” shall have the meaning set forth in Section 5(b).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Indemnifying Party” shall have the meaning set forth in Section 5(b).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Initial Registration Statement” means the initial Registration Statement filed pursuant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Losses” shall have the meaning set forth in Section 5(b).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Person” means an individual, corporation, partnership, joint venture, limited liability company, governmental authority, unincorporated organization, trust, association or other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Plan of Distribution” shall have the meaning set forth in Section 2(a).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Pre-Funded Warrants” shall have the meaning ascribed to such term in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Pre-Funded Warrant Shares” shall have the meaning ascribed to such term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Common Warrants” shall have the meaning ascribed to such term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Common Warrant Shares” shall have the meaning ascribed to such term in the Recitals.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Proceeding” means any action, claim, suit, investigation or legal proceeding (including, without limitation, an informal investigation or partial proceeding, such as a deposition), whether commenced or threatened.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Prospectus” 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Purchasers” shall have the meaning set forth in the Preamble.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Purchase Agreement” shall have the meaning set forth in the Recitals.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Registrable Securities” means (a) the Shares issued pursuant to the Purchase Agreement, (b) the Pre-Funded Warrant Shares issuable upon exercise of the Pre-Funded Warrants issued pursuant to the Purchase Agreement, (c) the Common Warrant Shares issuable upon exercise of the Common Warrants issued pursuant to the Purchase Agreement, and (d) any securities issued or issuable upon any stock split, dividend or other distribution, recapitalization or similar event with respect to the foregoing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xml:space="preserve"> that any such Registrable Securities shall cease to be Registrable Securities (and the Company shall not be required to maintain the effectiveness of any, or file another, Registration Statement hereunder with respect thereto) for so long as (a) a Registration Statement with respect to the sale of such Registrable Securities is declared effective by the Commission under the Securities Act and such Registrable Securities have been disposed of by the Holder in accordance with such effective Registration Statement, (b) such Registrable Securities have been previously sold in accordance with Rule 144, or (c) such securities become eligible for resale without volume or manner-of-sale restrictions and without current public information pursuant to Rule 144.</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Registration Statement” means any registration statement required to be filed hereunder pursuant to Section 2(a) and any additional registration statements contemplated by Section 3(b), including (in each case) the Prospectus, amendments and supplements to any such registration statement or Prospectus, including pre- and post-effective amendments, all exhibits thereto, and all material incorporated by reference or deemed to be incorporated by reference in any such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Rule 144” means Rule 144 promulgated by the Commission pursuant to the Securities Act, as such Rule may be amended from time to time, or any similar rule or regulation hereafter adopted by the Commission having substantially the same effect as such Rule.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Rule 415” means Rule 415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Rule 424”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 Guidance” means (i) any publicly-available written or oral guidance (including CDI 612.09), comments, requirements or requests of the Commission staff and (ii)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Securities Act” means the Securities Act of 1933.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Selling Stockholder Questionnaire” shall have the meaning set forth in Section 3(a). “Shares” shall have the meaning ascribed to such term in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Trading Day” means a day on which the New York Stock Exchange is open for trading.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Trading Market” means any of the following markets or exchanges on which the Common Stock is listed or quoted for trading on the date in question: the NYSE American, the Nasdaq Capital Market, the Nasdaq Global Market, the Nasdaq Global Select Market, the New York Stock Exchange or the OTC Markets (or any successors to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Transaction Documents” means this Agreement, the Purchase Agreement, all schedules and exhibits thereto and hereto, and any other documents or agreements executed in connection with the transactions contemplated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Transfer Agent” means Equiniti Trust Company, LLC, and any successor transfer agent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Warrant Shares” shall have the meaning ascribed to such term in the Purchase Agreement.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Resale Registration</w:t>
      </w:r>
      <w:r>
        <w:rPr>
          <w:rFonts w:ascii="Times New Roman;Times;Serif" w:hAnsi="Times New Roman;Times;Serif"/>
          <w:b w:val="false"/>
          <w:i w:val="false"/>
          <w:caps w:val="false"/>
          <w:smallCaps w:val="false"/>
          <w:sz w:val="20"/>
        </w:rPr>
        <w:t>.</w:t>
      </w:r>
    </w:p>
    <w:p>
      <w:pPr>
        <w:pStyle w:val="TextBody"/>
        <w:bidi w:val="0"/>
        <w:spacing w:before="0" w:after="0"/>
        <w:ind w:left="0" w:right="0" w:hanging="353"/>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or prior to each Filing Date, the Company shall prepare and file with the Commission a Registration Statement covering the resale of all of the Registrable Securities that are not then registered on an effective Registration Statement for an offering to be made on a continuous basis pursuant to Rule 415. Each Registration Statement filed hereunder shall be on Form S-1 (or Form S-3 if eligible) and shall contain a description of the Holders’ planned distribution (unless otherwise directed by at least an 85% majority in interest of the Holders) substantially in the form of “Plan of Distribution” attached hereto as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The Company shall respond to any comments from the staff of the Commission within seven days of the receipt of such comments. In the event the amount of Registrable Securities which may be included in the Registration Statement is limited due to SEC Guidance (provided that, the Company shall use diligent efforts to advocate with the Commission for the registration of all of the Registrable Securities in accordance with the SEC Guidance, including without limitation, the CDI 612.09) the Company shall use its reasonable best efforts to register such maximum portion of the Registrable Securities as permitted by SEC Guidance. Subject to the terms of this Agreement, the Company shall use its reasonable best efforts to cause a Registration Statement to be declared effective under the Securities Act prior to the applicable Effectiveness Date, and shall use its reasonable best efforts to keep such Registration Statement continuously effective under the Securities Act until all Registrable Securities covered by such Registration Statement have been sold, or may be sold pursuant to Rule 144 without the volume or other limitations of such rule, or not required to be registered in reliance upon the exemption in Section 4(a)(1) or 4(a)(7) under the Securities Act, in either case as determined by the counsel to the Company pursuant to a written opinion letter to such effect, addressed and acceptable to the Transfer Agent and the affected Holders (the “Effectiveness Period”); provided, however, that during any period of time that the Company’s financial statements contained in a prospectus do not meet the requirements of Securities Act Section 10(a)(3) and the remaining period until ten (10) days after the date its Form 10-K is required to be filed (excluding any extended period of time permitted by rule of the SEC) does not exceed thirty (30) days, the Company shall be excused from amending or supplementing its prospectus for the remaining period until the date its Form 10-K is required to be filed (including any extended period of time permitted by rule of the SEC). The Company shall telephonically request effectiveness of a Registration Statement as of 5:00 p.m. New York City time on a Trading Day. The Company shall promptly notify the Holders via facsimile or by e-mail of the effectiveness of a Registration Statement on the same Trading Day that the Company telephonically confirms effectiveness with the Commission, which shall be the date requested for effectiveness of such Registration Statement. The Company shall file a final Prospectus with the Commission as required by Rule 424. Notwithstanding any other provision of this Agreement, if any SEC Guidance sets forth a limitation on the number of Registrable Securities permitted to be registered on a particular Registration Statement (and notwithstanding that the Company used diligent efforts to advocate with the Commission for the registration of all or a greater portion of Registrable Securities), unless otherwise directed in writing by a Holder as to its Registrable Securities, the number of Registrable Securities to be registered on such Registration Statement will be reduced as follows: (1) first, the Company shall reduce or eliminate any securities to be included other than Registrable Securities; and (2) second, the Company shall reduce Registrable Securities on a pro rata basis based on the total number of unregistered Registrable Securities purchased by the Purchasers pursuant to the Purchase Agreement. In the event of a cutback hereunder, the Company shall give the Holder at least five Trading Days prior written notice along with the calculations as to such Holder’s allotment.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 Registration Statement registering for resale all of the Registrable Securities (i) is not declared effective by the Commission by the Effectiveness Date of the Initial Registration Statement or any other Registration Statement (</w:t>
      </w:r>
      <w:r>
        <w:rPr>
          <w:rFonts w:ascii="Times New Roman;Times;Serif" w:hAnsi="Times New Roman;Times;Serif"/>
          <w:b w:val="false"/>
          <w:i w:val="false"/>
          <w:caps w:val="false"/>
          <w:smallCaps w:val="false"/>
          <w:sz w:val="20"/>
          <w:u w:val="single"/>
        </w:rPr>
        <w:t>unless</w:t>
      </w:r>
      <w:r>
        <w:rPr>
          <w:rFonts w:ascii="Times New Roman;Times;Serif" w:hAnsi="Times New Roman;Times;Serif"/>
          <w:b w:val="false"/>
          <w:i w:val="false"/>
          <w:caps w:val="false"/>
          <w:smallCaps w:val="false"/>
          <w:sz w:val="20"/>
        </w:rPr>
        <w:t xml:space="preserve"> the sole reason for such non-registration of all or any portion of the Registrable Securities is solely as a result of SEC Guidance under Rule 415 or similar rule and CDI 612.09 which limits the number of Registrable Securities which may be included in a registration statement with respect to the Holders), or (ii) after the effective date of a Registration Statement, such Registration Statement ceases for any reason to remain continuously effective as to all Registrable Securities included in such Registration Statement, or the Holders are otherwise not permitted to utilize the Prospectus therein to resell such Registrable Securities, for more than fifteen (15) calendar days during any 12-month period (any such failure or breach being referred to as an “Event”, and the date on which such Event occurs, being referred to as “Event Date”), then, in addition to any other rights the Holders may have hereunder or under applicable law, on each such Event Date and on each monthly anniversary of each such Event Date (if the applicable Event shall not have been cured by such date) until the applicable Event is cured, the Company shall pay to each Holder an amount in cash, as partial liquidated damages and not as a penalty, equal to 1.15% of the aggregate purchase price paid by such Holder pursuant to the Purchase Agreement for the Securities then held by such Holder, during which such Event continues uncured; provided, however, that in no event shall the aggregate amount of partial liquidated damages payable to any Holder pursuant to this Section 2(b) exceed fifteen percent (15%) of the aggregate purchase price paid by such Holder pursuant to the Purchase Agreement. If the Company fails to pay any partial liquidated damages pursuant to this Section in full within seven days after the date payable, the Company will pay interest thereon at a rate of 15% per annum (or such lesser maximum amount that is permitted to be paid by applicable law) to the Purchaser, accruing daily from the date such partial liquidated damages are due until such amounts, plus all such interest thereon, are paid in full. The partial liquidated damages pursuant to the terms hereof shall apply on a daily pro rata basis for any portion of a month prior to the cure of an Event.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the foregoing liquidated damages shall not accrue or be otherwise charged during any period in which the Investor is eligible to sell the Shares on any given day under Rule 144 without the volume or other limitations of such rule, or in reliance upon the exemption in Section 4(a)(1) under the Securities Act, or after such Investor has publicly sold its Registrable Securities. Provided, further, notwithstanding anything to the contrary herein, with respect to any individual Holder, liquidated damages shall not accrue or be payable to such Holder with respect to any Event under clause (i) above solely during the period in which, and solely to the extent that, such Event results directly and solely from such Holder’s failure to deliver information specifically required of such Holder under Item 507 of Regulation S-K within five (5) Business Days after the Company’s written request to such Holder identifying with reasonable specificity the information required; liquidated damages shall resume accruing as to such Holder upon delivery of the requested information, and the foregoing shall in no event affect the accrual or payment of liquidated damages with respect to any other Holder.</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Registration Procedures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Company’s registration obligations hereunder, the Company shall: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 Not less than three Trading Days prior to the filing of each Registration Statement and not less than one Trading Day prior to the filing of any related Prospectus or any amendment or supplement thereto (including any document that would be incorporated or deemed to be incorporated therein by reference), furnish to the Holders copies of all such documents proposed to be filed, which documents (other than those incorporated or deemed to be incorporated by reference) will be subject to the review of the Holders or counsel for the Holders, and (ii) cause its officers and directors, counsel and independent registered public accountants to respond to such inquiries as shall be necessary to conduct a reasonable investigation within the meaning of the Securities Act. The Company shall not file a Registration Statement or any such Prospectus or any amendments or supplements thereto to which the Holders of a majority of the Registrable Securities shall reasonably object in good faith with respect to disclosures relating to such Holders or the Plan of Distribution, provided that, the Company is notified of such objection in writing no later than two Trading Days after the Holders have been so furnished copies of a Registration Statement or two Trading Days after the Holders have been so furnished copies of any related Prospectus or amendments or supplements thereto. Each Holder agrees to furnish to the Company a completed questionnaire in the form attached to this Agreement as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(a “Selling Stockholder Questionnaire”) on a date that is not less than two Trading Days prior to the Filing Date or by the end of the fourth Trading Day following the date on which such Holder receives draft materials in accordance with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w:t>
      </w:r>
    </w:p>
    <w:p>
      <w:pPr>
        <w:pStyle w:val="TextBody"/>
        <w:bidi w:val="0"/>
        <w:spacing w:before="0" w:after="0"/>
        <w:ind w:left="0" w:right="0" w:hanging="435"/>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prepare and file with the Commission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w:t>
      </w:r>
    </w:p>
    <w:p>
      <w:pPr>
        <w:pStyle w:val="TextBody"/>
        <w:bidi w:val="0"/>
        <w:spacing w:before="0" w:after="0"/>
        <w:ind w:left="0" w:right="0" w:firstLine="1259"/>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cause the related Prospectus to be amended or supplemented by any required Prospectus supplement (subject to the terms of this Agreement), and, as so supplemented or amended, to be filed pursuant to Rule 424,</w:t>
      </w:r>
    </w:p>
    <w:p>
      <w:pPr>
        <w:pStyle w:val="TextBody"/>
        <w:bidi w:val="0"/>
        <w:spacing w:before="0" w:after="0"/>
        <w:ind w:left="0" w:right="0" w:firstLine="1259"/>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use its reasonable best efforts to respond to any comments received from the Commission with respect to a Registration Statement or any amendment thereto within seven days of the receipt of such comments, and provide as promptly as reasonably possible to the Holders true and complete copies of all correspondence from and to the Commission relating to a Registration Statement (provided that, the Company may excise any information contained therein which would constitute material non-public information as to any Holder which has not executed a confidentiality agreement with the Company), and</w:t>
      </w:r>
    </w:p>
    <w:p>
      <w:pPr>
        <w:pStyle w:val="TextBody"/>
        <w:bidi w:val="0"/>
        <w:spacing w:before="0" w:after="0"/>
        <w:ind w:left="0" w:right="0" w:firstLine="1259"/>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comply with the provisions of the Securities Act and the Exchange Act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pStyle w:val="TextBody"/>
        <w:bidi w:val="0"/>
        <w:spacing w:before="0" w:after="0"/>
        <w:ind w:left="0" w:right="0" w:firstLine="1259"/>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Company shall notify the Holders of Registrable Securities to be sold (which notice shall, pursuant to clauses (iii) through (vi) hereof, be accompanied by an instruction to suspend the use of the Prospectus until the requisite changes have been made) as promptly as reasonably possible (and, in the case of (i)(A) below, not less than one Trading Day prior to such filing) and (if requested by any such Person) confirm such notice in writing no later than one Trading Day following the day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(iii) of the issuance by the Commission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and (vi)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 provided that, any and all of such information shall remain confidential to each Holder until such information otherwise becomes public, unless disclosure by a Holder is required by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notwithstanding each Holder’s acknowledgement to keep such information confidential, each such Holder makes no acknowledgement that any such information is material, non-public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shall use its best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furnish to each Holder, without charge, at least one conformed copy of each such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Commission; provided, that any such item which is available on the EDGAR system need not be furnished in physical form, and such number of copies of the current Prospectus as each Holder may reasonably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Subject to the terms of this Agreement, the Company hereby consents to the use of such Prospectus and each amendment or supplement thereto by each of the selling Holders in connection with the offering and sale of the Registrable Securities covered by such Prospectus and any amendment or supplement thereto, except after the giving of any notice pursuant to Section 3(c).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Intentionally Omitted.</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Prior to any resale of Registrable Securities by a Holder, the Company shall use its commercially reasonable efforts to register or qualify or 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requested by a Holder, the Company shall cooperate with such Holders to facilitate the timely preparation and delivery of certificates representing Registrable Securities to be delivered to a transferee pursuant to a Registration Statement, which certificates shall be free, to the extent permitted by the Purchase Agreement, of all restrictive legends, and to enable such Registrable Securities to be in such denominations and registered in such names as any such Holder may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If the Company notifies the Holders in accordance with clauses (iii) through (vi) of Section 3(c) above to suspend the use of any Prospectus until the requisite changes to such Prospectus have been made, then the Holders shall suspend use of such Prospectus. The Company will use its reasonable best efforts to ensure that the use of the Prospectus may be resumed as promptly as is practicable.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Company shall comply with all applicable rules and regulations of the Commission.</w:t>
      </w:r>
    </w:p>
    <w:p>
      <w:pPr>
        <w:pStyle w:val="TextBody"/>
        <w:bidi w:val="0"/>
        <w:spacing w:before="0" w:after="0"/>
        <w:ind w:left="0" w:right="0" w:hanging="434"/>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Company may require each selling Holder to furnish to the Company a certified statement as to the number of shares of Common Stock beneficially owned by such Holder and, if required by the Commission, the natural persons thereof that have voting and dispositive control over the shares. The Company shall not be liable for any damages during any periods that the Company is unable to meet its obligations hereunder with respect to the registration of the Registrable Securities solely because any Holder fails to furnish such information within three Trading Days of the Company’s request and any liquidated damages that are accruing at such time as to such Holder only shall be tolled and any Event that may otherwise occur solely because of such delay shall be suspended as to such Holder only, until such information is delivered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Registration Expenses</w:t>
      </w:r>
      <w:r>
        <w:rPr>
          <w:rFonts w:ascii="Times New Roman;Times;Serif" w:hAnsi="Times New Roman;Times;Serif"/>
          <w:b w:val="false"/>
          <w:i w:val="false"/>
          <w:caps w:val="false"/>
          <w:smallCaps w:val="false"/>
          <w:sz w:val="20"/>
        </w:rPr>
        <w:t>. 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independent registered public accountants and transfer agent) (A) with respect to filings made with the Commission, (B) with respect to filings required to be made with any Trading Market on which the Common Stock is then listed for trading, (C) in compliance with applicable state securities or Blue Sky laws reasonably agreed to by the Company in writing (including, without limitation, fees and disbursements of counsel for the Company in connection with Blue Sky qualifications or exemptions of the Registrable Securities) and (D) (i) printing expenses (including, without limitation, expenses of printing certificates for Registrable Securities), and (ii) messenger, telephone and delivery expenses, (iii) fees and disbursements of counsel for the Company.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Trading Market as required hereunder. In no event shall the Company be responsible for any broker-dealer or similar commissions of any Holder or, except to the extent provided for in the Transaction Documents, any legal fees or other costs of the Holders.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Indemnification by the Company</w:t>
      </w:r>
      <w:r>
        <w:rPr>
          <w:rFonts w:ascii="Times New Roman;Times;Serif" w:hAnsi="Times New Roman;Times;Serif"/>
          <w:b w:val="false"/>
          <w:i w:val="false"/>
          <w:caps w:val="false"/>
          <w:smallCaps w:val="false"/>
          <w:sz w:val="20"/>
        </w:rPr>
        <w:t>. The Company shall, notwithstanding any termination of this Agreement, indemnify and hold harmless each Holder, the officers, directors, members, partners, agents and employees (and any other Persons with a functionally equivalent role of a Person holding such titles, notwithstanding a lack of such title or any other title) of each of them, each Person who controls any such Holder (within the meaning of Section 15 of the Securities Act or Section 20 of the Exchange Act) and the officers, directors, members, stockholders, partners, agents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attorneys’ fees and costs of investigation and preparation) and expenses (collectively, “Losses”), as incurred, arising out of or relating to (1) any untrue or alleged untrue statement of a material fact contained in a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of the Securities Act, the Exchange Act or any state securities law, or any rule or regulation thereunder, in connection with the performance of its obligations under this Agreement, except to the extent that (i) such untrue statements or omissions are based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a Registration Statement, such Prospectus or in any amendment or supplement thereto (it being understood that the Holder has approved Annex A hereto for this purpose) or (ii) in the case of an occurrence of an event of the type specified in Section 3(c)(iii)-(vi), the use by such Holder of an outdated or defective Prospectus after the Company has notified such Holder in writing that the Prospectus is outdated or defective and prior to the receipt by such Holder of the Advice contemplated in Section 6(d). The Company shall notify the Holders promptly of the institution, threat or assertion of any Proceeding arising from or in connection with the transactions contemplated by this Agreement of which the Company is aware.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Indemnification by Holders</w:t>
      </w:r>
      <w:r>
        <w:rPr>
          <w:rFonts w:ascii="Times New Roman;Times;Serif" w:hAnsi="Times New Roman;Times;Serif"/>
          <w:b w:val="false"/>
          <w:i w:val="false"/>
          <w:caps w:val="false"/>
          <w:smallCaps w:val="false"/>
          <w:sz w:val="20"/>
        </w:rPr>
        <w:t>. Each Holder shall, severally and not jointly, indemnify and hold harmless the Company, each director of the Company, each officer of the Company who shall sign such Registration Statement, each underwriter, broker or other Person acting on behalf of the holders of Registrable Securities and each Person who controls any of the foregoing Persons within the meaning of Section 15 of the Securities Act or Section 20 of the Exchange Act, to the fullest extent permitted by applicable law, from and against all Losses, as incurred, to the extent arising out of or based solely upon: (x) such Holder’s failure to comply with the prospectus delivery requirements of the Securities Act or (y)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not misleading (i) to the extent, but only to the extent, that such untrue statement or omission is contained in any information so furnished in writing by such Holder to the Company specifically for inclusion in such Registration Statement or such Prospectus or (ii) to the extent that such information relates to such Holder’s proposed method of distribution of Registrable Securities and was reviewed and expressly approved in writing by such Holder expressly for use in a Registration Statement (it being understood that the Holder has approved Annex A hereto for this purpose), such Prospectus or in any amendment or supplement thereto or (ii) in the case of an occurrence of an event of the type specified in Section 3(c)(iii)-(vi), the use by such Holder of an outdated or defective Prospectus after the Company has notified such Holder in writing that the Prospectus is outdated or defective and prior to the receipt by such Holder of the Advice contemplated in Section 6(d). In no event shall the liability of any selling Holder hereunder be greater in amount than the dollar amount of the net proceeds (after underwriting fees, commissions, or discounts) actually received by such Holder upon the sale of the Registrable Securities giving rise to such indemnification obligation.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Conduct of Indemnification Proceedings</w:t>
      </w:r>
      <w:r>
        <w:rPr>
          <w:rFonts w:ascii="Times New Roman;Times;Serif" w:hAnsi="Times New Roman;Times;Serif"/>
          <w:b w:val="false"/>
          <w:i w:val="false"/>
          <w:caps w:val="false"/>
          <w:smallCaps w:val="false"/>
          <w:sz w:val="20"/>
        </w:rPr>
        <w:t>. If any Proceeding shall be brought or asserted against any Person entitled to indemnity hereunder (an “Indemnified Party”), such Indemnified Party shall promptly notify the Person from whom indemnity is sought (the “Indemnifying Party”) in writing, and the Indemnifying Party shall have the right to assume the defense thereof, including the employment of one law firm reasonably satisfactory to the Indemnified Party and the payment of all fees and expenses incurred in connection with defense thereof except as otherwise provided in this Section 5(c);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prejudiced the Indemnifying Party.</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this Agreement, all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10 Trading Days of written notice thereof to the Indemnifying Party; provided, that, the Indemnified Party shall promptly reimburse the Indemnifying Party for that portion of such fees and expenses applicable to such actions for which such Indemnified Party is judicially determined not to be entitled to indemnification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If the indemnification under Section 5(a) or 5(b)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 paragraph. Notwithstanding the provisions of this Section 5(d), no Holder shall be required to contribute, in the aggregate, any amount in excess of the amount by which the net proceeds actually received by such Holder from the sale of the Registrable Securities subject to the Proceeding exceeds the amount of any damages that such Holder has otherwise been required to pay by reason of such untrue or alleged untrue statement or omission or alleged omission.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indemnity and contribution agreements contained in this Section are in addition to any liability that the Indemnifying Parties may have to the Indemnified Parties.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The Company and each Holder agree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Prohibition on Filing Other Registration Statements</w:t>
      </w:r>
      <w:r>
        <w:rPr>
          <w:rFonts w:ascii="Times New Roman;Times;Serif" w:hAnsi="Times New Roman;Times;Serif"/>
          <w:b w:val="false"/>
          <w:i w:val="false"/>
          <w:caps w:val="false"/>
          <w:smallCaps w:val="false"/>
          <w:sz w:val="20"/>
        </w:rPr>
        <w:t>. Neither the Company nor any of its security holders (other than the Holders in such capacity pursuant hereto) may include securities of the Company in any Registration Statements other than the Registrable Securities and shares issued in connection with the Equity Investment (as defined in the Purchase Agreement). The Company shall not file any other resale registration statements until all Registrable Securities are registered pursuant to a Registration Statement that is declared effective by the Commission, provided that this Section 6(b) shall not prohibit the Company from filing amendments to registration statements filed prior to the date of this Agreement or a Form S-8 or Form S-4. If the staff of the Commission or applicable SEC Guidance prevents the inclusion of all of the Registrable Securities requested to be included in a Registration Statement due to limitations on the use of Rule 415 under the Securities Act or other applicable rules, then the Company shall include in such Registration Statement the maximum number of Registrable Securities that may be included without exceeding such limitations. The securities to be included in such Registration Statement shall be allocated as follows: (i) First, the Company shall include all securities that are not Registrable Securities but have been previously registered on an effective registration statement of the Company as of the date of this Agreement and for which the Company is contractually obligated to include; (ii) Second, the Company shall include Registrable Securities on a pro rata basis among the Holders based on the aggregate principal amount or Stated Value of the securities purchased by each Holder under the Purchase Agreement, relative to the total aggregate principal amount or Stated Value of all securities purchased by all Holders under the Purchase Agreement; (iii) Third, any securities requested to be included by other security holders with registration rights shall be included only after the full inclusion of all Registrable Securities. In the event the Commission or SEC Guidance subsequently allows the inclusion of additional Registrable Securities, the Company shall promptly amend the Registration Statement or file a new Registration Statement to include such additional Registrable Securities that were previously cut back, on a pro rata basis as set forth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Each Holder covenants and agrees that it will comply with the prospectus delivery requirements of the Securities Act as applicable to it in connection with sales of Registrable Securities pursuant to a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Discontinued Disposition</w:t>
      </w:r>
      <w:r>
        <w:rPr>
          <w:rFonts w:ascii="Times New Roman;Times;Serif" w:hAnsi="Times New Roman;Times;Serif"/>
          <w:b w:val="false"/>
          <w:i w:val="false"/>
          <w:caps w:val="false"/>
          <w:smallCaps w:val="false"/>
          <w:sz w:val="20"/>
        </w:rPr>
        <w:t>. By its acquisition of Registrable Securities, each Holder agrees that, upon receipt of a notice from the Company of the occurrence of any event of the kind described in Section 3(c)(iii) through (vi), such Holder will immediately discontinue disposition of such Registrable Securities under a Registration Statement until it is advised in writing (the “Advice”) by the Company that the use of the applicable Prospectus (as it may have been supplemented or amended) may be resumed. The Company will use its best efforts to ensure that the use of the Prospectus may be resumed as promptly as is practicable.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Amendments and Waivers</w:t>
      </w:r>
      <w:r>
        <w:rPr>
          <w:rFonts w:ascii="Times New Roman;Times;Serif" w:hAnsi="Times New Roman;Times;Serif"/>
          <w:b w:val="false"/>
          <w:i w:val="false"/>
          <w:caps w:val="false"/>
          <w:smallCaps w:val="false"/>
          <w:sz w:val="20"/>
        </w:rPr>
        <w:t>. The provisions of this Agreement, including the provisions of this sentence, may not be amended, modified or supplemented, and waivers or consents to departures from the provisions hereof may not be given, unless the same shall be in writing and signed by the Company and the Holders of more than 50% of the Registrable Securities. If a Registration Statement does not register all of the Registrable Securities pursuant to a waiver or amendment done in compliance with the previous sentence, then the number of Registrable Securities to be registered for each Holder shall be reduced pro rata among all Holders and each Holder shall have the right to designate which of its Registrable Securities shall be omitted from such Registration Statement. Notwithstanding the foregoing, a waiver or consent to depart from the provisions hereof with respect to a matter that relates exclusively to the rights of a Holder or some Holders and that does not directly or indirectly affect the rights of other Holders may be given by such Holder or Holders of all of the Registrable Securities to which such waiver or consent relates; provided, however, that the provisions of this sentence may not be amended, modified, or supplemented except in accordance with the provisions of the first sentence of this Section 6(e).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required or permitted to be provided hereunder shall be delivered as set forth in the Purchase Agreement.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inure to the benefit of and be binding upon the successors and permitted assigns of each of the parties and shall inure to the benefit of each Holder. The Company may not assign (except by merger) its rights or obligations hereunder without the prior written consent of all of the Holders of the then outstanding Registrable Securities. Each Holder may assign their respective rights hereunder in the manner and to the Persons as permitted under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 Inconsistent Agreements</w:t>
      </w:r>
      <w:r>
        <w:rPr>
          <w:rFonts w:ascii="Times New Roman;Times;Serif" w:hAnsi="Times New Roman;Times;Serif"/>
          <w:b w:val="false"/>
          <w:i w:val="false"/>
          <w:caps w:val="false"/>
          <w:smallCaps w:val="false"/>
          <w:sz w:val="20"/>
        </w:rPr>
        <w:t>.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 Neither the Company nor any of its Subsidiaries has previously entered into any agreement granting any registration rights with respect to any of its securities to any Person that have not been satisfied in full.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Execution and Counterparts</w:t>
      </w:r>
      <w:r>
        <w:rPr>
          <w:rFonts w:ascii="Times New Roman;Times;Serif" w:hAnsi="Times New Roman;Times;Serif"/>
          <w:b w:val="false"/>
          <w:i w:val="false"/>
          <w:caps w:val="false"/>
          <w:smallCaps w:val="false"/>
          <w:sz w:val="20"/>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choice of law and venue, construction, validity, enforcement and interpretation of this Agreement shall be determined in accordance with the provisions of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Cumulative Remedies</w:t>
      </w:r>
      <w:r>
        <w:rPr>
          <w:rFonts w:ascii="Times New Roman;Times;Serif" w:hAnsi="Times New Roman;Times;Serif"/>
          <w:b w:val="false"/>
          <w:i w:val="false"/>
          <w:caps w:val="false"/>
          <w:smallCaps w:val="false"/>
          <w:sz w:val="20"/>
        </w:rPr>
        <w:t>. The remedies provided herein are cumulative and not exclusive of any other remedies provided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in this Agreement are for convenience only, do not constitute a part of the Agreement and shall not be deemed to limit or affect any of the provisions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Independent Nature of Holders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Obligations and Rights</w:t>
      </w:r>
      <w:r>
        <w:rPr>
          <w:rFonts w:ascii="Times New Roman;Times;Serif" w:hAnsi="Times New Roman;Times;Serif"/>
          <w:b w:val="false"/>
          <w:i w:val="false"/>
          <w:caps w:val="false"/>
          <w:smallCaps w:val="false"/>
          <w:sz w:val="20"/>
        </w:rPr>
        <w:t>.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entity, or create a presumption that the Holders are in any way acting in concert with respect to such obligations or the transactions contemplated by this Agreement. Each Holder shall be entitled to protect and enforce its rights, including without limitation the rights arising out of this Agreement, and it shall not be necessary for any other Holder to be joined as an additional party in any proceeding for such purpose.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Registration Rights Agreement as of the date first written above.</w:t>
      </w:r>
    </w:p>
    <w:p>
      <w:pPr>
        <w:pStyle w:val="TextBody"/>
        <w:bidi w:val="0"/>
        <w:spacing w:before="0" w:after="0"/>
        <w:jc w:val="center"/>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75"/>
        <w:gridCol w:w="590"/>
        <w:gridCol w:w="195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54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54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54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HCW BIOLOGICS INC.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Hing C. Wong, Ph.D.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545"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PURCHASER</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Annex A</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Selling Stockholder (the “Selling Stockholders”) of the Common Stock and any of their pledgees, assignees and successors-in-interest may, from time to time, sell any or all of their shares of Common Stock on the Trading Market or any other stock exchange, market or trading facility on which the shares are traded or in private transactions. These sales may be at fixed or negotiated prices. A Selling Stockholder may use any one or more of the following methods when selling shares: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broker-dealer solicits purchasers;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trades in which the broker-dealer will attempt to sell the shares as agent but may position and resell a portion of the block as principal to facilitate the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broker-dealer as principal and resale by the broker-dealer for its account;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exchange distribution in accordance with the rules of the applicable exchange;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negotiated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of short sales entered into after the effective date of the registration statement of which this prospectus is a part;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may agree with the Selling Stockholders to sell a specified number of such shares at a stipulated price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writing or settlement of options or other hedging transactions, whether through an options exchange or otherwise;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combination of any such methods of sale;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method permitted pursuant to applicable law.</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also sell shares under Rule 144 under the Securities Act of 1933, as amended (the “Securities Act”), if available, rather than under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engaged by the Selling Stockholders may arrange for other brokers or dealers to participate in sales. Broker-dealers may receive commissions or discounts from the Selling Stockholders (or, if any broker-dealer acts as agent for the purchaser of shares, from the purchaser) in amounts to be negotiated, but, except as set forth in a supplement to this Prospectus, in the case of an agency transaction not in excess of a customary brokerage commission in compliance with FINRA Rule 2121 or NASD Rule 2440; and in the case of a principal transaction a markup or markdown in compliance with NASD IM-2440.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the Common Stock short and deliver these securities to close out their short positions, or loan or pledge the Common Stock to broker-dealers that in turn may sell these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also enter into option or other transactions with broker-dealers or other financial institutions or the creation of one or more derivative securities which require the delivery to such broker- dealer or other financial institution of shares offered by this prospectus, which shares such broker-dealer or other financial institution may resell pursuant to this prospectus (as supplemented or amended to reflect such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broker-dealers or agents that are involved in selling the shares may be deemed to be “underwriters” within the meaning of the Securities Act in connection with such sales. In such event, any commissions received by such broker-dealers or agents and any profit on the resale of the shares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Common Stock. In no event shall any broker-dealer receive fees, commissions and markups which, in the aggregate, would exceed eight percent.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required to pay certain fees and expenses incurred by the Company incident to the registration of the shares. The Company has agreed to indemnify the Selling Stockholders against certain losses, claims, damages and liabilities, including liabilities under the Securities Act.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Selling Stockholders may be deemed to be “underwriters” within the meaning of the Securities Act, they will be subject to the prospectus delivery requirements of the Securities Act including Rule 172 thereunder. In addition, any securities covered by this prospectus which qualify for sale pursuant to Rule 144 under the Securities Act may be sold under Rule 144 rather than under this prospectus. There is no underwriter or coordinating broker acting in connection with the proposed sale of the resale shares by the Selling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will be sold only through registered or licensed brokers or dealers if required under applicable state securities laws. In addition, in certain states, the shares may not be sold unless they have been registered or qualified for sale in the applicable state or an exemption from the registration or qualification requirement is available and is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rules and regulations under the Exchange Act, any person engaged in the distribution of the shares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shares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Stockholder Notice and Questionnaire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beneficial owner of common stock, par value $0.0001 per share (including shares issuable upon exercise of Pre-Funded Warrants and Common Warrants) (the “Registrable Securities”) of HCW Biologics Inc., a Delaware corporation (the “Company”), understands that the Company has filed or intends to file with the U.S. Securities and Exchange Commission (the “Commission”) a registration statement (the “Registration Statement”) for the registration and resale under Rule 415 of the Securities Act of 1933 (the “Securities Act”), of the Registrable Securities, in accordance with the terms of the Registration Rights Agreement (the “Registration Rights Agreement”) to which this document is annexed. A copy of the Registration Rights Agreement is available from the Company upon request at the address set forth below. All capitalized terms not otherwise defined herein shall have the meanings ascribed thereto in the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consequences arise from being named as a selling stockholder in the Registration Statement and the related prospectus. Accordingly, holders and beneficial owners of Registrable Securities are advised to consult their own securities law counsel regarding the consequences of being named or not being named as a selling stockholder in the Registration Statement and the related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beneficial owner (the “Selling Stockholder”) of Registrable Securities hereby elects to include the Registrable Securities owned by it in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provides the following information to the Company and represents and warrants that such information is accurate: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QUESTIONNAIRE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Name.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Full Legal Name of Selling Stockholder:</w:t>
      </w:r>
    </w:p>
    <w:p>
      <w:pPr>
        <w:pStyle w:val="TextBody"/>
        <w:bidi w:val="0"/>
        <w:spacing w:before="0" w:after="0"/>
        <w:ind w:left="0" w:right="0" w:hanging="0"/>
        <w:jc w:val="both"/>
        <w:rPr>
          <w:caps w:val="false"/>
          <w:smallCaps w:val="false"/>
        </w:rPr>
      </w:pPr>
      <w:r>
        <w:rPr>
          <w:caps w:val="false"/>
          <w:smallCaps w:val="false"/>
        </w:rPr>
        <w:t> </w:t>
      </w:r>
    </w:p>
    <w:tbl>
      <w:tblPr>
        <w:tblW w:w="150" w:type="dxa"/>
        <w:jc w:val="left"/>
        <w:tblInd w:w="0" w:type="dxa"/>
        <w:tblLayout w:type="fixed"/>
        <w:tblCellMar>
          <w:top w:w="0" w:type="dxa"/>
          <w:left w:w="0" w:type="dxa"/>
          <w:bottom w:w="0" w:type="dxa"/>
          <w:right w:w="0" w:type="dxa"/>
        </w:tblCellMar>
      </w:tblPr>
      <w:tblGrid>
        <w:gridCol w:w="75"/>
        <w:gridCol w:w="75"/>
      </w:tblGrid>
      <w:tr>
        <w:trPr/>
        <w:tc>
          <w:tcPr>
            <w:tcW w:w="75" w:type="dxa"/>
            <w:tcBorders/>
            <w:vAlign w:val="center"/>
          </w:tcPr>
          <w:p>
            <w:pPr>
              <w:pStyle w:val="TableContents"/>
              <w:bidi w:val="0"/>
              <w:spacing w:before="0" w:after="283"/>
              <w:jc w:val="right"/>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Full Legal Name of Registered Holder (if not the same as (a) above) through which Registrable Securities are held:</w:t>
      </w:r>
    </w:p>
    <w:p>
      <w:pPr>
        <w:pStyle w:val="TextBody"/>
        <w:bidi w:val="0"/>
        <w:spacing w:before="0" w:after="0"/>
        <w:ind w:left="0" w:right="0" w:hanging="0"/>
        <w:jc w:val="both"/>
        <w:rPr>
          <w:caps w:val="false"/>
          <w:smallCaps w:val="false"/>
        </w:rPr>
      </w:pPr>
      <w:r>
        <w:rPr>
          <w:caps w:val="false"/>
          <w:smallCaps w:val="false"/>
        </w:rPr>
        <w:t> </w:t>
      </w:r>
    </w:p>
    <w:tbl>
      <w:tblPr>
        <w:tblW w:w="150" w:type="dxa"/>
        <w:jc w:val="left"/>
        <w:tblInd w:w="0" w:type="dxa"/>
        <w:tblLayout w:type="fixed"/>
        <w:tblCellMar>
          <w:top w:w="0" w:type="dxa"/>
          <w:left w:w="0" w:type="dxa"/>
          <w:bottom w:w="0" w:type="dxa"/>
          <w:right w:w="0" w:type="dxa"/>
        </w:tblCellMar>
      </w:tblPr>
      <w:tblGrid>
        <w:gridCol w:w="75"/>
        <w:gridCol w:w="75"/>
      </w:tblGrid>
      <w:tr>
        <w:trPr/>
        <w:tc>
          <w:tcPr>
            <w:tcW w:w="75" w:type="dxa"/>
            <w:tcBorders/>
            <w:vAlign w:val="center"/>
          </w:tcPr>
          <w:p>
            <w:pPr>
              <w:pStyle w:val="TableContents"/>
              <w:bidi w:val="0"/>
              <w:spacing w:before="0" w:after="283"/>
              <w:jc w:val="right"/>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Full Legal Name of Natural Control Person (which means a natural person who directly or indirectly alone or with others has power to vote or dispose of the securities covered by this Questionnaire):</w:t>
      </w:r>
    </w:p>
    <w:p>
      <w:pPr>
        <w:pStyle w:val="TextBody"/>
        <w:bidi w:val="0"/>
        <w:spacing w:before="0" w:after="0"/>
        <w:ind w:left="0" w:right="0" w:hanging="0"/>
        <w:jc w:val="both"/>
        <w:rPr>
          <w:caps w:val="false"/>
          <w:smallCaps w:val="false"/>
        </w:rPr>
      </w:pPr>
      <w:r>
        <w:rPr>
          <w:caps w:val="false"/>
          <w:smallCaps w:val="false"/>
        </w:rPr>
        <w:t> </w:t>
      </w:r>
    </w:p>
    <w:tbl>
      <w:tblPr>
        <w:tblW w:w="150" w:type="dxa"/>
        <w:jc w:val="left"/>
        <w:tblInd w:w="0" w:type="dxa"/>
        <w:tblLayout w:type="fixed"/>
        <w:tblCellMar>
          <w:top w:w="0" w:type="dxa"/>
          <w:left w:w="0" w:type="dxa"/>
          <w:bottom w:w="0" w:type="dxa"/>
          <w:right w:w="0" w:type="dxa"/>
        </w:tblCellMar>
      </w:tblPr>
      <w:tblGrid>
        <w:gridCol w:w="75"/>
        <w:gridCol w:w="75"/>
      </w:tblGrid>
      <w:tr>
        <w:trPr/>
        <w:tc>
          <w:tcPr>
            <w:tcW w:w="75" w:type="dxa"/>
            <w:tcBorders/>
            <w:vAlign w:val="center"/>
          </w:tcPr>
          <w:p>
            <w:pPr>
              <w:pStyle w:val="TableContents"/>
              <w:bidi w:val="0"/>
              <w:spacing w:before="0" w:after="283"/>
              <w:jc w:val="right"/>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Address for Notices to Selling Stockholder:</w:t>
      </w:r>
    </w:p>
    <w:p>
      <w:pPr>
        <w:pStyle w:val="TextBody"/>
        <w:bidi w:val="0"/>
        <w:spacing w:before="0" w:after="0"/>
        <w:ind w:left="0" w:right="0" w:hanging="0"/>
        <w:jc w:val="both"/>
        <w:rPr>
          <w:caps w:val="false"/>
          <w:smallCaps w:val="false"/>
        </w:rPr>
      </w:pPr>
      <w:r>
        <w:rPr>
          <w:caps w:val="false"/>
          <w:smallCaps w:val="false"/>
        </w:rPr>
        <w:t> </w:t>
      </w:r>
    </w:p>
    <w:tbl>
      <w:tblPr>
        <w:tblW w:w="150" w:type="dxa"/>
        <w:jc w:val="left"/>
        <w:tblInd w:w="0" w:type="dxa"/>
        <w:tblLayout w:type="fixed"/>
        <w:tblCellMar>
          <w:top w:w="0" w:type="dxa"/>
          <w:left w:w="0" w:type="dxa"/>
          <w:bottom w:w="0" w:type="dxa"/>
          <w:right w:w="0" w:type="dxa"/>
        </w:tblCellMar>
      </w:tblPr>
      <w:tblGrid>
        <w:gridCol w:w="75"/>
        <w:gridCol w:w="75"/>
      </w:tblGrid>
      <w:tr>
        <w:trPr/>
        <w:tc>
          <w:tcPr>
            <w:tcW w:w="75" w:type="dxa"/>
            <w:tcBorders/>
            <w:vAlign w:val="center"/>
          </w:tcPr>
          <w:p>
            <w:pPr>
              <w:pStyle w:val="TableContents"/>
              <w:bidi w:val="0"/>
              <w:spacing w:before="0" w:after="283"/>
              <w:jc w:val="right"/>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________________________________</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________________________________</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Person: 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Broker-Dealer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Are you a broker-dealer?</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“yes” to Section 3(a), did you receive your Registrable Securities as compensation for investment banking services to the Company?</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Note: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If “no” to Section 3(b), the Commission’s staff has indicated that you should be identified as an underwriter in the Registration Statement.</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Are you an affiliate of a broker-dealer?</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Note: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If “no” to Section 3(d), the Commission’s staff has indicated that you should be identified as an underwriter in the Registration Statement.</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Beneficial Ownership of Securities of the Company Owned by the Selling Stockholder.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Except as set forth below in this Item 4, the undersigned is not the beneficial or registered owner of any securities of the Company other than the securities issuable pursuant to the Purchase Agreement.</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Type and amount of other securities beneficially owned by the Selling Stockholder:</w:t>
      </w:r>
    </w:p>
    <w:p>
      <w:pPr>
        <w:pStyle w:val="TextBody"/>
        <w:bidi w:val="0"/>
        <w:spacing w:before="0" w:after="0"/>
        <w:ind w:left="720" w:right="0" w:hanging="0"/>
        <w:jc w:val="both"/>
        <w:rPr>
          <w:caps w:val="false"/>
          <w:smallCaps w:val="false"/>
        </w:rPr>
      </w:pPr>
      <w:r>
        <w:rPr>
          <w:caps w:val="false"/>
          <w:smallCaps w:val="false"/>
        </w:rPr>
        <w:t> </w:t>
      </w:r>
    </w:p>
    <w:tbl>
      <w:tblPr>
        <w:tblW w:w="150" w:type="dxa"/>
        <w:jc w:val="left"/>
        <w:tblInd w:w="0" w:type="dxa"/>
        <w:tblLayout w:type="fixed"/>
        <w:tblCellMar>
          <w:top w:w="0" w:type="dxa"/>
          <w:left w:w="0" w:type="dxa"/>
          <w:bottom w:w="0" w:type="dxa"/>
          <w:right w:w="0" w:type="dxa"/>
        </w:tblCellMar>
      </w:tblPr>
      <w:tblGrid>
        <w:gridCol w:w="75"/>
        <w:gridCol w:w="75"/>
      </w:tblGrid>
      <w:tr>
        <w:trPr/>
        <w:tc>
          <w:tcPr>
            <w:tcW w:w="75" w:type="dxa"/>
            <w:tcBorders/>
            <w:vAlign w:val="center"/>
          </w:tcPr>
          <w:p>
            <w:pPr>
              <w:pStyle w:val="TableContents"/>
              <w:bidi w:val="0"/>
              <w:spacing w:before="0" w:after="283"/>
              <w:jc w:val="right"/>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Relationships with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Except as set forth below, neither the undersigned nor any of its affiliates, officers, directors or principal equity holders (owners of 5% or more of the equity securities of the undersigned) has held any position or office or has had any other material relationship with the Company (or its predecessors or affiliates) during the past three years.</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any exceptions here:</w:t>
      </w:r>
    </w:p>
    <w:p>
      <w:pPr>
        <w:pStyle w:val="TextBody"/>
        <w:bidi w:val="0"/>
        <w:spacing w:before="0" w:after="0"/>
        <w:ind w:left="720" w:right="0" w:hanging="0"/>
        <w:jc w:val="both"/>
        <w:rPr>
          <w:caps w:val="false"/>
          <w:smallCaps w:val="false"/>
        </w:rPr>
      </w:pPr>
      <w:r>
        <w:rPr>
          <w:caps w:val="false"/>
          <w:smallCaps w:val="false"/>
        </w:rPr>
        <w:t> </w:t>
      </w:r>
    </w:p>
    <w:tbl>
      <w:tblPr>
        <w:tblW w:w="150" w:type="dxa"/>
        <w:jc w:val="left"/>
        <w:tblInd w:w="0" w:type="dxa"/>
        <w:tblLayout w:type="fixed"/>
        <w:tblCellMar>
          <w:top w:w="0" w:type="dxa"/>
          <w:left w:w="0" w:type="dxa"/>
          <w:bottom w:w="0" w:type="dxa"/>
          <w:right w:w="0" w:type="dxa"/>
        </w:tblCellMar>
      </w:tblPr>
      <w:tblGrid>
        <w:gridCol w:w="75"/>
        <w:gridCol w:w="75"/>
      </w:tblGrid>
      <w:tr>
        <w:trPr/>
        <w:tc>
          <w:tcPr>
            <w:tcW w:w="75" w:type="dxa"/>
            <w:tcBorders/>
            <w:vAlign w:val="center"/>
          </w:tcPr>
          <w:p>
            <w:pPr>
              <w:pStyle w:val="TableContents"/>
              <w:bidi w:val="0"/>
              <w:spacing w:before="0" w:after="283"/>
              <w:jc w:val="right"/>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agrees to promptly notify the Company of any inaccuracies or changes in the information provided herein that may occur subsequent to the date hereof at any time while the Registration Statement remains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by authority duly given, has caused this Notice and Questionnaire to be executed and delivered either in person or by its duly authorized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______________________</w:t>
      </w:r>
    </w:p>
    <w:p>
      <w:pPr>
        <w:pStyle w:val="TextBody"/>
        <w:bidi w:val="0"/>
        <w:spacing w:before="0" w:after="0"/>
        <w:ind w:left="0" w:right="0" w:hanging="0"/>
        <w:jc w:val="both"/>
        <w:rPr>
          <w:caps w:val="false"/>
          <w:smallCaps w:val="false"/>
        </w:rPr>
      </w:pPr>
      <w:r>
        <w:rPr>
          <w:caps w:val="false"/>
          <w:smallCaps w:val="false"/>
        </w:rPr>
        <w:t> </w:t>
      </w:r>
    </w:p>
    <w:tbl>
      <w:tblPr>
        <w:tblW w:w="1639" w:type="dxa"/>
        <w:jc w:val="left"/>
        <w:tblInd w:w="0" w:type="dxa"/>
        <w:tblLayout w:type="fixed"/>
        <w:tblCellMar>
          <w:top w:w="0" w:type="dxa"/>
          <w:left w:w="0" w:type="dxa"/>
          <w:bottom w:w="0" w:type="dxa"/>
          <w:right w:w="0" w:type="dxa"/>
        </w:tblCellMar>
      </w:tblPr>
      <w:tblGrid>
        <w:gridCol w:w="1150"/>
        <w:gridCol w:w="414"/>
        <w:gridCol w:w="75"/>
      </w:tblGrid>
      <w:tr>
        <w:trPr/>
        <w:tc>
          <w:tcPr>
            <w:tcW w:w="15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 Owner: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50" w:type="dxa"/>
            <w:tcBorders/>
            <w:vAlign w:val="center"/>
          </w:tcPr>
          <w:p>
            <w:pPr>
              <w:pStyle w:val="TableContents"/>
              <w:bidi w:val="0"/>
              <w:spacing w:before="0" w:after="283"/>
              <w:jc w:val="left"/>
              <w:rPr>
                <w:caps w:val="false"/>
                <w:smallCaps w:val="false"/>
              </w:rPr>
            </w:pPr>
            <w:r>
              <w:rPr>
                <w:caps w:val="false"/>
                <w:smallCaps w:val="false"/>
              </w:rPr>
              <w:t> </w:t>
            </w:r>
          </w:p>
        </w:tc>
        <w:tc>
          <w:tcPr>
            <w:tcW w:w="414"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1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14"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14"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jc w:val="center"/>
        <w:rPr>
          <w:caps w:val="false"/>
          <w:smallCaps w:val="false"/>
        </w:rPr>
      </w:pPr>
      <w:r>
        <w:rPr>
          <w:caps w:val="false"/>
          <w:smallCaps w:val="false"/>
        </w:rPr>
        <w:t> </w:t>
      </w:r>
    </w:p>
    <w:tbl>
      <w:tblPr>
        <w:tblW w:w="7515" w:type="dxa"/>
        <w:jc w:val="left"/>
        <w:tblInd w:w="0" w:type="dxa"/>
        <w:tblLayout w:type="fixed"/>
        <w:tblCellMar>
          <w:top w:w="0" w:type="dxa"/>
          <w:left w:w="0" w:type="dxa"/>
          <w:bottom w:w="28" w:type="dxa"/>
          <w:right w:w="0" w:type="dxa"/>
        </w:tblCellMar>
      </w:tblPr>
      <w:tblGrid>
        <w:gridCol w:w="2570"/>
        <w:gridCol w:w="60"/>
        <w:gridCol w:w="2180"/>
        <w:gridCol w:w="60"/>
        <w:gridCol w:w="2645"/>
      </w:tblGrid>
      <w:tr>
        <w:trPr/>
        <w:tc>
          <w:tcPr>
            <w:tcW w:w="257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Address of Purchaser</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80" w:type="dxa"/>
            <w:tcBorders>
              <w:bottom w:val="single" w:sz="8" w:space="0" w:color="000000"/>
            </w:tcBorders>
            <w:shd w:fill="FFFFFF" w:val="cle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 Securities to be</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Purchased</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45" w:type="dxa"/>
            <w:tcBorders>
              <w:bottom w:val="single" w:sz="8"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and/or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Pre-Funded Warrants</w:t>
            </w:r>
          </w:p>
        </w:tc>
      </w:tr>
      <w:tr>
        <w:trPr/>
        <w:tc>
          <w:tcPr>
            <w:tcW w:w="257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18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645"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257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18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64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257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18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645"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257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18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64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257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18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645"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257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18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64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257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18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645"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bookmarkStart w:id="31" w:name="ex99-1.htm"/>
      <w:bookmarkStart w:id="32" w:name="ksex991"/>
      <w:bookmarkEnd w:id="31"/>
      <w:bookmarkEnd w:id="32"/>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657475" cy="1276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657475" cy="12763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HCW Biologics Inc. Announces Pricing of $1.5 Million Private Placement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MIRAMAR, Fla., September 24, 2026 (GLOBE NEWSWIRE) — HCW Biologics Inc. (the “Company” or “HCW Biologics”), (NASDAQ: HCWB), a clinical-stage biopharmaceutical company developing transformative fusion immunotherapeutics to treat autoimmune diseases, cancer and senescence-associated dysplasia, today announced the pricing of its $1.5 million private placement (the “Offering”) with an existing stockholder of the Company, (the “Investor”). Pursuant to a securities purchase agreement entered into on September 23, 2026 with the Investor (the “Purchase Agreement”), the Company agreed to issue and sell an aggregate of 903,614 units (the “Units”), with each Unit consisting of (i) one pre-funded warrant (a “Pre-Funded Warrant”) to purchase one share of the Company’s common stock, par value $0.0001 per share, (“Common Stock”) and (ii) the right to receive one common stock purchase warrant (a “Common Warrant”) to purchase one share of Common Stock, and subject to, stockholder approval of the issuance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Offering, the Company will issue 903,614 Pre-Funded Warrants. Subject to stockholder approval, which the Company is obligated to seek pursuant to the terms of the Purchase Agreement, the Investor will also be entitled to receive Common Warrants to purchase up to an aggregate of 903,614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 Group LLC is acting as the sole placement agent for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purchase price for each Unit consisting of a Pre-Funded Warrant and the right to receive one Common Warrant upon, and subject to, stockholder approval of the issuance thereof, was $1.6599 per Unit. The Pre-Funded Warrants have an exercise price of $0.0001 per share of Common Stock, are exercisable immediately and will not expire until exercised in full. The Common Warrants will have an exercise price of $1.66 per share and will expire on the five and one half (5.5) year anniversary of their issuance. Under Nasdaq Listing Rule 5635(d), the Company is required to obtain stockholder approval before issuing the Common Warrants because the potential issuance of shares upon exercise of the Common Warrants could exceed the thresholds set forth in such rule. Following receipt of stockholder approval, the Company will issue the Common Warrants to the Investor in accordance with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use the net proceeds from this Offering to continue clinical trials for HCW9302, advance its IND-enabling studies for its T-Cell Engager, HCW11-018b, and its second-generation immune checkpoint inhibitor, HCW11-040, and for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2026, the Company also entered into a registration rights agreement with the Investors, pursuant to which the Company agreed to submit to the U.S. Securities and Exchange Commission (the “SEC”) a registration statement on Form S-1 within 15 trading days of the closing of the Offering covering the resale of the shares of Common Stock issuable upon exercise of the Pre-Funded Warrants and the shares of Common Stock issuable upon exercise of the Common Warrants. The Company also agreed to use commercially reasonable efforts to cause the registration statement to be declared effective by the SEC within 60 days following the closing of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the Company that may be held by the Investor, including those shares issued at closing and upon the exercise of Pre-Funded Warrants from time to time in the Offering, may not exceed 9.99% of the number of shares of the Company’s Common Stock outstanding immediately after giving effect to such issuances.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shall not constitute an offer to sell or a solicitation of an offer to buy any of the securities described herein, nor shall there be any sale of these securities in any state or other jurisdiction in which such offer, solicitation or sale would be unlawful prior to the registration or qualification under the securities laws of any such state or other jurisdiction.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HCW Biologics: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HCW Biologics Inc. (the “Company”) (NASDAQ: HCWB) is a clinical-stage biopharmaceutical company developing transformative fusion immunotherapeutics to treat diseases promoted by chronic inflammation, including autoimmune diseases, cancer, and senescence-associated dysplasia. The Company’s immunotherapeutics represent a new class of drugs that it believes have the potential to fundamentally change the treatment of proinflammatory and senescence-associated diseases and conditions that are promoted by chronic inflammation —and in doing so, improve patients’ quality of life and possibly extend longevity. A key aspect of the Company’s clinical development and financing strategy is to focus on its business development programs. See the Company Pipeline at </w:t>
      </w:r>
      <w:r>
        <w:rPr>
          <w:rFonts w:ascii="Times New Roman;Times;Serif" w:hAnsi="Times New Roman;Times;Serif"/>
          <w:b w:val="false"/>
          <w:i w:val="false"/>
          <w:caps w:val="false"/>
          <w:smallCaps w:val="false"/>
          <w:sz w:val="20"/>
          <w:u w:val="single"/>
        </w:rPr>
        <w:t>https://hcwbiologics.com/pipeline</w:t>
      </w:r>
      <w:r>
        <w:rPr>
          <w:rFonts w:ascii="Times New Roman;Times;Serif" w:hAnsi="Times New Roman;Times;Serif"/>
          <w:b w:val="false"/>
          <w:i w:val="false"/>
          <w:caps w:val="false"/>
          <w:smallCaps w:val="false"/>
          <w:sz w:val="20"/>
        </w:rPr>
        <w:t>/</w:t>
      </w:r>
    </w:p>
    <w:p>
      <w:pPr>
        <w:pStyle w:val="TextBody"/>
        <w:shd w:fill="FFFFFF" w:val="clear"/>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in this press release contain “forward-looking statements” that are subject to substantial risks and uncertainties. These statements are made under the “safe harbor” provisions of the U.S. Private Securities Litigation Reform Act of 1995. Forward-looking statements contained in this press release may be identified by the use of words such as “anticipate,” “expect,” “believe,” “will,” “may,” “should,” “estimate,” “project,” “outlook,” “forecast” or other similar words and include, without limitation, statements regarding the completion of the Offering and the satisfaction of customary closing conditions; the anticipated use of proceeds from the Offering; the Company’s ability to obtain stockholder approval for the issuance of the Common Warrants; the anticipated issuance of the Common Warrants following receipt of stockholder approval; the anticipated filing and effectiveness of registration statements covering the shares of Common Stock issued in the Offering; and the prospective efficacy and success of the Company’s immunotherapeutic candidates and development programs. Further, certain forward-looking statements are based on assumptions as to future events that may not prove to be accurate. Factors that could cause actual results to differ include, but are not limited to, the risks and uncertainties that are described in the section titled “Risk Factors” in the annual report on Form 10-K filed with the SEC on March 31, 2026, and in other filings filed from time to time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Rebecca Byam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rebeccabyam@hcwbiologics.com</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71</Pages>
  <Words>52730</Words>
  <Characters>278223</Characters>
  <CharactersWithSpaces>331199</CharactersWithSpaces>
  <Paragraphs>1977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