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9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4, 2026</w:t>
      </w:r>
    </w:p>
    <w:p>
      <w:pPr>
        <w:pStyle w:val="TextBody"/>
        <w:bidi w:val="0"/>
        <w:jc w:val="center"/>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04"/>
            <w:bookmarkEnd w:id="6"/>
            <w:r>
              <w:rPr>
                <w:rFonts w:ascii="Times New Roman;Times;Serif" w:hAnsi="Times New Roman;Times;Serif"/>
                <w:b/>
                <w:i w:val="false"/>
                <w:caps w:val="false"/>
                <w:smallCaps w:val="false"/>
                <w:sz w:val="20"/>
              </w:rPr>
              <w:t>001-40591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82-5024477</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jc w:val="center"/>
        <w:rPr/>
      </w:pPr>
      <w:r>
        <w:rPr/>
        <w:t> </w:t>
      </w:r>
    </w:p>
    <w:tbl>
      <w:tblPr>
        <w:tblW w:w="4510" w:type="dxa"/>
        <w:jc w:val="left"/>
        <w:tblInd w:w="0" w:type="dxa"/>
        <w:tblLayout w:type="fixed"/>
        <w:tblCellMar>
          <w:top w:w="0" w:type="dxa"/>
          <w:left w:w="0" w:type="dxa"/>
          <w:bottom w:w="0" w:type="dxa"/>
          <w:right w:w="0" w:type="dxa"/>
        </w:tblCellMar>
      </w:tblPr>
      <w:tblGrid>
        <w:gridCol w:w="3395"/>
        <w:gridCol w:w="60"/>
        <w:gridCol w:w="60"/>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2929 N. Commerce Parkway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Miramar, </w:t>
            </w:r>
            <w:bookmarkStart w:id="10" w:name="xdx_909_edei--EntityAddressStateOrProvin"/>
            <w:bookmarkEnd w:id="10"/>
            <w:r>
              <w:rPr>
                <w:rFonts w:ascii="Times New Roman;Times;Serif" w:hAnsi="Times New Roman;Times;Serif"/>
                <w:b/>
                <w:i w:val="false"/>
                <w:caps w:val="false"/>
                <w:smallCaps w:val="false"/>
                <w:sz w:val="20"/>
              </w:rPr>
              <w:t>Florida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4_edei--EntityAddressPostalZipCode"/>
            <w:bookmarkEnd w:id="11"/>
            <w:r>
              <w:rPr>
                <w:rFonts w:ascii="Times New Roman;Times;Serif" w:hAnsi="Times New Roman;Times;Serif"/>
                <w:b/>
                <w:i w:val="false"/>
                <w:caps w:val="false"/>
                <w:smallCaps w:val="false"/>
                <w:sz w:val="20"/>
              </w:rPr>
              <w:t>33025</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7_edei--CityAreaCode_c20260904__20"/>
      <w:bookmarkEnd w:id="12"/>
      <w:r>
        <w:rPr>
          <w:rFonts w:ascii="Times New Roman;Times;Serif" w:hAnsi="Times New Roman;Times;Serif"/>
          <w:b/>
          <w:i w:val="false"/>
          <w:caps w:val="false"/>
          <w:smallCaps w:val="false"/>
          <w:sz w:val="20"/>
        </w:rPr>
        <w:t xml:space="preserve">954 </w:t>
      </w:r>
      <w:bookmarkStart w:id="13" w:name="xdx_901_edei--LocalPhoneNumber_c20260904"/>
      <w:bookmarkEnd w:id="13"/>
      <w:r>
        <w:rPr>
          <w:rFonts w:ascii="Times New Roman;Times;Serif" w:hAnsi="Times New Roman;Times;Serif"/>
          <w:b/>
          <w:i w:val="false"/>
          <w:caps w:val="false"/>
          <w:smallCaps w:val="false"/>
          <w:sz w:val="20"/>
        </w:rPr>
        <w:t>842-2024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283"/>
              <w:jc w:val="both"/>
              <w:rPr/>
            </w:pPr>
            <w:bookmarkStart w:id="14" w:name="xdx_904_edei--WrittenCommunications_c202"/>
            <w:bookmarkEnd w:id="14"/>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5" w:name="xdx_905_edei--SolicitingMaterial_c202609"/>
            <w:bookmarkEnd w:id="15"/>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6" w:name="xdx_907_edei--PreCommencementTenderOffer"/>
            <w:bookmarkEnd w:id="16"/>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both"/>
              <w:rPr/>
            </w:pPr>
            <w:r>
              <w:rPr/>
              <w:t> </w:t>
            </w:r>
          </w:p>
        </w:tc>
        <w:tc>
          <w:tcPr>
            <w:tcW w:w="9050"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pPr>
            <w:bookmarkStart w:id="17" w:name="xdx_904_edei--PreCommencementIssuerTende"/>
            <w:bookmarkEnd w:id="17"/>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490" w:right="0" w:hanging="49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D_edei--Security12bTitle_c2026090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0904__2"/>
            <w:bookmarkEnd w:id="19"/>
            <w:r>
              <w:rPr>
                <w:rFonts w:ascii="Times New Roman;Times;Serif" w:hAnsi="Times New Roman;Times;Serif"/>
                <w:b w:val="false"/>
                <w:i w:val="false"/>
                <w:caps w:val="false"/>
                <w:smallCaps w:val="false"/>
                <w:sz w:val="20"/>
              </w:rPr>
              <w:t>HCWB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HCW Biologics Inc. (the “Company”) entered into an Exclusive Distribution Agreement (the “Distribution Agreement” or “Agreement”) with Akron Biotech (“Akron”), a leading manufacturer of ancillary materials and a contract development and manufacturing organization for the distribution of the Company’s commercial-ready molecule, HCW11-006, for use as a reagent in cell therapy manufacturing and other ex vivo applications, but not for use in injectable therapies (the “Product”), throughout the world, excluding the People’s Republic of China, for a term of five years from the closing date unless terminated earlier for cause or by the Company’s exercise of its right to terminate for convenience. If the Agreement is terminated by the Company for convenience, under the terms of the Distribution Agreement, the Company has committed to continue to supply the Product to support existing Akron customers, in addition to other provisions, to ensure a seamless transition for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Distribution Agreement, the parties will enter into a Material Transfer Agreement to permit Akron to perform further due diligence and evaluate the Product. The closing is subject to the satisfactory completion of due diligence and product testing but will occur no later than November 30, 2026. Under the Distribution Agreement, the parties also agreed to negotiate in good faith to finalize and execute a Supply Agreement within 60 days of the closing date, under which the Company will (assuming the closing occurs) receive advance payments of $200,000 at closing, $100,000 within 30 days of execution of the Supply Agreement, and $100,000 on each of the first and second anniversaries of the closing date. In addition, the Distribution Agreement provides that Akron will make quarterly payments for the Company’s technical support, as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Distribution Agreement is qualified in its entirety by reference to the full text of the Distribution Agreement, a copy of which will be filed as an exhibit to a subsequent filing, if applicable.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HCW Biologics Inc. issued a press release announcing its entry into an Exclusive Distribution Agreement with Akron Biotech for the commercialization and distribution of HCW11-006 for use as a reagent to support cell therapy manufacturing. A copy of the press release is furnished as Exhibit 99.1 to this Current Report on Form 8-K.</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Current Report on Form 8-K, including the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8, 2026.</w:t>
              </w:r>
            </w:hyperlink>
          </w:p>
        </w:tc>
      </w:tr>
      <w:tr>
        <w:trPr/>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470"/>
        <w:gridCol w:w="1535"/>
        <w:gridCol w:w="320"/>
        <w:gridCol w:w="428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46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Founder and Chief Executive Officer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011680" cy="9690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1680" cy="96901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Entered an Exclusive Distribution Agreement with Akron Biotech to Commercialize HCW11-006 as Reagent Used to Support Production of Highly Functional Human CAR-T Cells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includes pre-payment commitments for product sales and distribution of the second-generation multi-cytokine-based HCW11-006 for use as a reagent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Akron is a leading supplier of critical ancillary materials and accessory molecules for clinical and commercial scale-up of cell, gene and regenerative therapy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HCW Biologics supplies research and cGMP-grade HCW11-006 and Akron markets and distributes the reagent to its established network of research institutions and commercial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showed in studies that CAR-T cells manufactured using HCW11-006 as a reagent exhibited strong anti-tumor activity and enhanced antiviral potency as well as potential for lowering the cost of production of CAR-T therapies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Fla., September 8, 2026 (GLOBE NEWSWIRE) — HCW Biologics Inc. (the “Company” or “HCW Biologics”) (NASDAQ: HCWB), a U.S.-based clinical-stage biopharmaceutical company focused on developing novel fusion immunotherapeutics to treat autoimmune diseases, cancer, and senescence-associated dysplasia, announced today that the Company has entered into an Exclusive Distribution Agreement with Akron Biotech (“Akron”), a leading manufacturer of ancillary materials and a contract development and manufacturing organization for the cell, gene therapy, and regenerative medicine industries, for the commercialization of HCW11-006 for use as a reagent to support a new method of producing highly functional human CAR-T cells for treating cancer, autoimmune disease, and infectious diseases. Akron operates within a highly specialized global network of biomedical institutions, primarily catering to a customer base of advanced therapy developers, biopharmaceutical companies, and research organizations. Akron manufactures and markets cGMP-compliant ancillary materials (such as cytokines, media supplements, and plasmid DNA) necessary for bringing regenerative medicine from preclinical stages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HCW11-006, a first-in-class multi-cytokine fusion molecule built with our proprietary TRBC platform, enables production of more potent CAR-T-based immunotherapies by generating a CAR-T population that is highly functional and markedly enriched for long-lived T-memory stem cells (T</w:t>
      </w:r>
      <w:r>
        <w:rPr>
          <w:rFonts w:ascii="Times New Roman;Times;Serif" w:hAnsi="Times New Roman;Times;Serif"/>
          <w:b w:val="false"/>
          <w:i w:val="false"/>
          <w:caps w:val="false"/>
          <w:smallCaps w:val="false"/>
          <w:position w:val="-2"/>
          <w:sz w:val="16"/>
          <w:sz w:val="20"/>
        </w:rPr>
        <w:t>scm</w:t>
      </w:r>
      <w:r>
        <w:rPr>
          <w:rFonts w:ascii="Times New Roman;Times;Serif" w:hAnsi="Times New Roman;Times;Serif"/>
          <w:b w:val="false"/>
          <w:i w:val="false"/>
          <w:caps w:val="false"/>
          <w:smallCaps w:val="false"/>
          <w:sz w:val="20"/>
        </w:rPr>
        <w:t>). Utilizing HCW11-006 as part of a manufacturing strategy may be broadly applicable to increase persistence and functionality of CAR-Ts. Functional persistence of CAR-Ts is limited by conventional and costly manufacturing methods utilizing anti-CD3/CD28 (αCD3/28)/IL-2 stimulation, which generates terminally differentiated and shorter-lived CAR-Ts.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Utilizing HCW11-006 as a reagent in the manufacture of CAR-Ts synergizes the effects of IL-7, IL-15 and IL-21 to promote the generation of a CAR-T cell product with a diverse mix of T cell subsets that exhibit a combination of T</w:t>
      </w:r>
      <w:r>
        <w:rPr>
          <w:rFonts w:ascii="Times New Roman;Times;Serif" w:hAnsi="Times New Roman;Times;Serif"/>
          <w:b w:val="false"/>
          <w:i w:val="false"/>
          <w:caps w:val="false"/>
          <w:smallCaps w:val="false"/>
          <w:position w:val="-2"/>
          <w:sz w:val="16"/>
          <w:sz w:val="20"/>
        </w:rPr>
        <w:t>scm</w:t>
      </w:r>
      <w:r>
        <w:rPr>
          <w:rFonts w:ascii="Times New Roman;Times;Serif" w:hAnsi="Times New Roman;Times;Serif"/>
          <w:b w:val="false"/>
          <w:i w:val="false"/>
          <w:caps w:val="false"/>
          <w:smallCaps w:val="false"/>
          <w:sz w:val="20"/>
        </w:rPr>
        <w:t xml:space="preserve"> self-renewal capacity and enhanced T cell effector function. In addition, as a reagent, HCW11-006 stimulates proliferation of CD8</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 cells, particularly those within the T</w:t>
      </w:r>
      <w:r>
        <w:rPr>
          <w:rFonts w:ascii="Times New Roman;Times;Serif" w:hAnsi="Times New Roman;Times;Serif"/>
          <w:b w:val="false"/>
          <w:i w:val="false"/>
          <w:caps w:val="false"/>
          <w:smallCaps w:val="false"/>
          <w:position w:val="-2"/>
          <w:sz w:val="16"/>
          <w:sz w:val="20"/>
        </w:rPr>
        <w:t>scm</w:t>
      </w:r>
      <w:r>
        <w:rPr>
          <w:rFonts w:ascii="Times New Roman;Times;Serif" w:hAnsi="Times New Roman;Times;Serif"/>
          <w:b w:val="false"/>
          <w:i w:val="false"/>
          <w:caps w:val="false"/>
          <w:smallCaps w:val="false"/>
          <w:sz w:val="20"/>
        </w:rPr>
        <w:t xml:space="preserve"> subset. As a result, HCW11-006 was shown to generate CAR-Ts without requiring αCD3/28/IL-2 activation that are highly enriched in long-lived T</w:t>
      </w:r>
      <w:r>
        <w:rPr>
          <w:rFonts w:ascii="Times New Roman;Times;Serif" w:hAnsi="Times New Roman;Times;Serif"/>
          <w:b w:val="false"/>
          <w:i w:val="false"/>
          <w:caps w:val="false"/>
          <w:smallCaps w:val="false"/>
          <w:position w:val="-2"/>
          <w:sz w:val="16"/>
          <w:sz w:val="20"/>
        </w:rPr>
        <w:t>scm</w:t>
      </w:r>
      <w:r>
        <w:rPr>
          <w:rFonts w:ascii="Times New Roman;Times;Serif" w:hAnsi="Times New Roman;Times;Serif"/>
          <w:b w:val="false"/>
          <w:i w:val="false"/>
          <w:caps w:val="false"/>
          <w:smallCaps w:val="false"/>
          <w:sz w:val="20"/>
        </w:rPr>
        <w:t> and display potent activity across distinct disease experimental models, namely, HIV-1 and B-cell leukemia.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preclinical studies, CAR-Ts manufactured using HCW11-006 were significantly superior compared to CAR-Ts manufactured using standard methods employing αCD3/28/IL-2 reagents for CAR lentiviral transduction and subsequent expansion and persistence of highly active human CAR-Ts. Clinical studies are planned to further confirm these findings. This research suggests that CAR-T cells produced with HCW11-006 may be a more effective and longer-lasting CAR-T cell immunotherapy than conventional CAR-T cells produced using αCD3/28/IL-2.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Hing C. Wong, the Company’s Founder and Chief Executive Officer, stated, “We are thrilled that our first product, created using our proprietary TRBC platform, has reached the commercialization stage. HCW11-006 is a novel compound that enables a single molecule to deliver synergistic signals from three different immune-stimulatory cytokines. It is versatile and can be used as a novel reagent to potentially replace the current industry-standard method that relies on αCD3/28/IL-2-based approaches. An approach that employs HCW11-006 as a reagent is highly streamlined and may lower the cost of CAR-T manufacturing compared to existing approaches. Equally important, based on experimental models, HCW11-006 has shown improvement in functional activities and persistence of CAR-Ts following adoptive transfer, a goal the industry has been trying to achieve for the last decade.”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Wong continued, “We are pleased to be entering into a partnership with Akron Biotech and their extensive network of customers who include leading research institutions all over the world that will include the use of CAR-T treatments produced using HCW11-006 as a reagent in clinical research and scale-up of commercialization. Recently, research laboratories and companies approached us directly seeking supply of HCW11-006 to support their cell-based research and development for their novel therapies. We decided to seek a partnership with a leading supplier to commercialize HCW11-006 for use as a reagent. We are excited to enter into this Distribution Agreement to commercialize this application of HCW11-006 as a reagent with an established firm that specializes in manufacturing and distribution of cell-based, gene and regenerative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Referenced in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Cole et al., “IL-7/IL-15/IL-21 cytokine-fusion scaffold generates highly functional CAR T cells enriched in long-lived T memory stem cells,” Science Advances, Vol. 12, No.11, 13 Mar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HCW Biologics: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HCW Biologics is the leader in creation of multi-valent immunotherapeutics with a unique protein-based scaffold, without the antibody Fc domain.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including its commercial-ready reagents to be used in the production of immunotherapeutics for cancer and infectious diseases. To date, the Company has entered into two licensing agreements in which it has licensed exclusive, worldwide rights for some of its proprietary molecules. See the Company Pipeline at </w:t>
      </w:r>
      <w:r>
        <w:rPr>
          <w:rFonts w:ascii="Times New Roman;Times;Serif" w:hAnsi="Times New Roman;Times;Serif"/>
          <w:b w:val="false"/>
          <w:i w:val="false"/>
          <w:caps w:val="false"/>
          <w:smallCaps w:val="false"/>
          <w:sz w:val="20"/>
          <w:u w:val="single"/>
        </w:rPr>
        <w:t>https://hcwbiologics.com/pipeline/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the ability and efficacy of HCW11-006 for generating CAR-T cells for immune cell therapy with increased persistence and functionality at a lower cost; the ability of HCW11-006 preclinical studies to translate into human trials and demonstrate activation of long-lived T-memory stem cells (“T</w:t>
      </w:r>
      <w:r>
        <w:rPr>
          <w:rFonts w:ascii="Times New Roman;Times;Serif" w:hAnsi="Times New Roman;Times;Serif"/>
          <w:b w:val="false"/>
          <w:i w:val="false"/>
          <w:caps w:val="false"/>
          <w:smallCaps w:val="false"/>
          <w:position w:val="-2"/>
          <w:sz w:val="16"/>
          <w:sz w:val="20"/>
        </w:rPr>
        <w:t>scm</w:t>
      </w:r>
      <w:r>
        <w:rPr>
          <w:rFonts w:ascii="Times New Roman;Times;Serif" w:hAnsi="Times New Roman;Times;Serif"/>
          <w:b w:val="false"/>
          <w:i w:val="false"/>
          <w:caps w:val="false"/>
          <w:smallCaps w:val="false"/>
          <w:sz w:val="20"/>
        </w:rPr>
        <w:t>”) in patients; the ability of HCW11-006 to improve long-term survival of disease- specific CAR-Ts following adoptive transfer and enable sustained suppression of malignancies, chronic infections and autoimmune diseases; the availability of HCW11-006 for licensing, distribution and commercial supply for certain indications; the anticipated commercialization of HCW11-006 as a reagent; the anticipated benefits, capabilities and applications of HCW11-006 in supporting the manufacture of CAR-T cell therapies; the ability of HCW11-006 to generate CAR-T cells with enhanced persistence, functionality or therapeutic activity; the ability of HCW11-006 to reduce or lower CAR-T manufacturing costs or simplify manufacturing processes; the potential adoption, evaluation or use of HCW11-006 by research institutions, biopharmaceutical companies and other customers; the anticipated benefits of the Company’s relationship with Akron Biotech, including Akron’s ability to market and distribute HCW11-006; the expected demand for HCW11-006; and the ability of HCW11-006 to support the development, commercialization or scale-up of cell-based therapies. Forward-looking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and in other filings filed from time to time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 Flowers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Business Development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LeeFlowers@hcwbiologics.com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2208</Words>
  <Characters>13146</Characters>
  <CharactersWithSpaces>15385</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