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8, 2026</w:t>
      </w:r>
    </w:p>
    <w:p>
      <w:pPr>
        <w:spacing w:after="0" w:line="181" w:lineRule="exact"/>
        <w:rPr>
          <w:sz w:val="24"/>
          <w:szCs w:val="24"/>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6089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173355</wp:posOffset>
            </wp:positionV>
            <wp:extent cx="7160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S-1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HCW BIOLOGICS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3" w:lineRule="exact"/>
        <w:rPr>
          <w:sz w:val="24"/>
          <w:szCs w:val="24"/>
          <w:color w:val="auto"/>
        </w:rPr>
      </w:pPr>
    </w:p>
    <w:tbl>
      <w:tblPr>
        <w:tblLayout w:type="fixed"/>
        <w:tblInd w:w="860" w:type="dxa"/>
        <w:tblCellMar>
          <w:top w:w="0" w:type="dxa"/>
          <w:left w:w="0" w:type="dxa"/>
          <w:bottom w:w="0" w:type="dxa"/>
          <w:right w:w="0" w:type="dxa"/>
        </w:tblCellMar>
      </w:tblPr>
      <w:tr>
        <w:trPr>
          <w:trHeight w:val="171"/>
        </w:trPr>
        <w:tc>
          <w:tcPr>
            <w:tcW w:w="2920" w:type="dxa"/>
            <w:vAlign w:val="bottom"/>
          </w:tcPr>
          <w:p>
            <w:pPr>
              <w:jc w:val="center"/>
              <w:ind w:right="9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2834</w:t>
            </w:r>
          </w:p>
        </w:tc>
        <w:tc>
          <w:tcPr>
            <w:tcW w:w="2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82-5024477</w:t>
            </w:r>
          </w:p>
        </w:tc>
      </w:tr>
      <w:tr>
        <w:trPr>
          <w:trHeight w:val="171"/>
        </w:trPr>
        <w:tc>
          <w:tcPr>
            <w:tcW w:w="292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920" w:type="dxa"/>
            <w:vAlign w:val="bottom"/>
          </w:tcPr>
          <w:p>
            <w:pPr>
              <w:jc w:val="center"/>
              <w:ind w:right="94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2929 N Commerce Parkway</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Miramar, FL 33025</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(954) 842-2024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Hing C. Wong, Ph.D.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HCW Biologics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2929 N Commerce Parkway</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Miramar, FL 33025</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(954) 842-2024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63" w:lineRule="exact"/>
        <w:rPr>
          <w:sz w:val="24"/>
          <w:szCs w:val="24"/>
          <w:color w:val="auto"/>
        </w:rPr>
      </w:pPr>
    </w:p>
    <w:tbl>
      <w:tblPr>
        <w:tblLayout w:type="fixed"/>
        <w:tblInd w:w="186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50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With a copy to:</w:t>
            </w:r>
          </w:p>
        </w:tc>
      </w:tr>
      <w:tr>
        <w:trPr>
          <w:trHeight w:val="326"/>
        </w:trPr>
        <w:tc>
          <w:tcPr>
            <w:tcW w:w="258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James Groth</w:t>
            </w:r>
          </w:p>
        </w:tc>
        <w:tc>
          <w:tcPr>
            <w:tcW w:w="5020" w:type="dxa"/>
            <w:vAlign w:val="bottom"/>
          </w:tcPr>
          <w:p>
            <w:pPr>
              <w:jc w:val="center"/>
              <w:ind w:left="3069"/>
              <w:spacing w:after="0"/>
              <w:rPr>
                <w:sz w:val="20"/>
                <w:szCs w:val="20"/>
                <w:color w:val="auto"/>
              </w:rPr>
            </w:pPr>
            <w:r>
              <w:rPr>
                <w:rFonts w:ascii="Times New Roman" w:cs="Times New Roman" w:eastAsia="Times New Roman" w:hAnsi="Times New Roman"/>
                <w:sz w:val="14"/>
                <w:szCs w:val="14"/>
                <w:b w:val="1"/>
                <w:bCs w:val="1"/>
                <w:color w:val="auto"/>
              </w:rPr>
              <w:t>Yevgeniya (Jeny) Zarmon</w:t>
            </w:r>
          </w:p>
        </w:tc>
      </w:tr>
      <w:tr>
        <w:trPr>
          <w:trHeight w:val="171"/>
        </w:trPr>
        <w:tc>
          <w:tcPr>
            <w:tcW w:w="258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Clark Hill PLC</w:t>
            </w:r>
          </w:p>
        </w:tc>
        <w:tc>
          <w:tcPr>
            <w:tcW w:w="5020" w:type="dxa"/>
            <w:vAlign w:val="bottom"/>
          </w:tcPr>
          <w:p>
            <w:pPr>
              <w:jc w:val="center"/>
              <w:ind w:left="3089"/>
              <w:spacing w:after="0"/>
              <w:rPr>
                <w:sz w:val="20"/>
                <w:szCs w:val="20"/>
                <w:color w:val="auto"/>
              </w:rPr>
            </w:pPr>
            <w:r>
              <w:rPr>
                <w:rFonts w:ascii="Times New Roman" w:cs="Times New Roman" w:eastAsia="Times New Roman" w:hAnsi="Times New Roman"/>
                <w:sz w:val="14"/>
                <w:szCs w:val="14"/>
                <w:b w:val="1"/>
                <w:bCs w:val="1"/>
                <w:color w:val="auto"/>
              </w:rPr>
              <w:t>Clark Hill PLC</w:t>
            </w:r>
          </w:p>
        </w:tc>
      </w:tr>
      <w:tr>
        <w:trPr>
          <w:trHeight w:val="171"/>
        </w:trPr>
        <w:tc>
          <w:tcPr>
            <w:tcW w:w="258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130 E. Randolph St., Ste. 3900</w:t>
            </w:r>
          </w:p>
        </w:tc>
        <w:tc>
          <w:tcPr>
            <w:tcW w:w="5020" w:type="dxa"/>
            <w:vAlign w:val="bottom"/>
          </w:tcPr>
          <w:p>
            <w:pPr>
              <w:jc w:val="center"/>
              <w:ind w:left="3069"/>
              <w:spacing w:after="0"/>
              <w:rPr>
                <w:sz w:val="20"/>
                <w:szCs w:val="20"/>
                <w:color w:val="auto"/>
              </w:rPr>
            </w:pPr>
            <w:r>
              <w:rPr>
                <w:rFonts w:ascii="Times New Roman" w:cs="Times New Roman" w:eastAsia="Times New Roman" w:hAnsi="Times New Roman"/>
                <w:sz w:val="14"/>
                <w:szCs w:val="14"/>
                <w:b w:val="1"/>
                <w:bCs w:val="1"/>
                <w:color w:val="auto"/>
              </w:rPr>
              <w:t>210 Carnegie Center, Suite 102</w:t>
            </w:r>
          </w:p>
        </w:tc>
      </w:tr>
      <w:tr>
        <w:trPr>
          <w:trHeight w:val="171"/>
        </w:trPr>
        <w:tc>
          <w:tcPr>
            <w:tcW w:w="258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Chicago, IL 60601</w:t>
            </w:r>
          </w:p>
        </w:tc>
        <w:tc>
          <w:tcPr>
            <w:tcW w:w="5020" w:type="dxa"/>
            <w:vAlign w:val="bottom"/>
          </w:tcPr>
          <w:p>
            <w:pPr>
              <w:jc w:val="center"/>
              <w:ind w:left="3069"/>
              <w:spacing w:after="0"/>
              <w:rPr>
                <w:sz w:val="20"/>
                <w:szCs w:val="20"/>
                <w:color w:val="auto"/>
              </w:rPr>
            </w:pPr>
            <w:r>
              <w:rPr>
                <w:rFonts w:ascii="Times New Roman" w:cs="Times New Roman" w:eastAsia="Times New Roman" w:hAnsi="Times New Roman"/>
                <w:sz w:val="14"/>
                <w:szCs w:val="14"/>
                <w:b w:val="1"/>
                <w:bCs w:val="1"/>
                <w:color w:val="auto"/>
              </w:rPr>
              <w:t>Princeton, NJ 08540</w:t>
            </w:r>
          </w:p>
        </w:tc>
      </w:tr>
      <w:tr>
        <w:trPr>
          <w:trHeight w:val="187"/>
        </w:trPr>
        <w:tc>
          <w:tcPr>
            <w:tcW w:w="258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(312) 985-5900</w:t>
            </w:r>
          </w:p>
        </w:tc>
        <w:tc>
          <w:tcPr>
            <w:tcW w:w="5020" w:type="dxa"/>
            <w:vAlign w:val="bottom"/>
          </w:tcPr>
          <w:p>
            <w:pPr>
              <w:jc w:val="center"/>
              <w:ind w:left="3069"/>
              <w:spacing w:after="0"/>
              <w:rPr>
                <w:sz w:val="20"/>
                <w:szCs w:val="20"/>
                <w:color w:val="auto"/>
              </w:rPr>
            </w:pPr>
            <w:r>
              <w:rPr>
                <w:rFonts w:ascii="Times New Roman" w:cs="Times New Roman" w:eastAsia="Times New Roman" w:hAnsi="Times New Roman"/>
                <w:sz w:val="14"/>
                <w:szCs w:val="14"/>
                <w:b w:val="1"/>
                <w:bCs w:val="1"/>
                <w:color w:val="auto"/>
              </w:rPr>
              <w:t>(609) 785-2918</w:t>
            </w:r>
          </w:p>
        </w:tc>
      </w:tr>
    </w:tbl>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 as determined by market conditions.</w:t>
      </w:r>
    </w:p>
    <w:p>
      <w:pPr>
        <w:spacing w:after="0" w:line="15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12"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20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2"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4"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Section 8(a)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608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716089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366395</wp:posOffset>
            </wp:positionV>
            <wp:extent cx="7160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379" w:right="319" w:bottom="1440" w:gutter="0" w:footer="0" w:header="0"/>
        </w:sectPr>
      </w:pPr>
    </w:p>
    <w:bookmarkStart w:id="1" w:name="page2"/>
    <w:bookmarkEnd w:id="1"/>
    <w:p>
      <w:pPr>
        <w:jc w:val="both"/>
        <w:spacing w:after="0" w:line="274" w:lineRule="auto"/>
        <w:rPr>
          <w:sz w:val="20"/>
          <w:szCs w:val="20"/>
          <w:color w:val="auto"/>
        </w:rPr>
      </w:pPr>
      <w:r>
        <w:rPr>
          <w:rFonts w:ascii="Times New Roman" w:cs="Times New Roman" w:eastAsia="Times New Roman" w:hAnsi="Times New Roman"/>
          <w:sz w:val="14"/>
          <w:szCs w:val="14"/>
          <w:b w:val="1"/>
          <w:bCs w:val="1"/>
          <w:color w:val="FF0000"/>
        </w:rPr>
        <w:t>The information contained in this prospectus is not complete and may be changed. The selling stockholders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33" w:lineRule="exact"/>
        <w:rPr>
          <w:sz w:val="20"/>
          <w:szCs w:val="20"/>
          <w:color w:val="auto"/>
        </w:rPr>
      </w:pPr>
    </w:p>
    <w:p>
      <w:pPr>
        <w:spacing w:after="0"/>
        <w:tabs>
          <w:tab w:leader="none" w:pos="7920" w:val="left"/>
        </w:tabs>
        <w:rPr>
          <w:sz w:val="20"/>
          <w:szCs w:val="20"/>
          <w:color w:val="auto"/>
        </w:rPr>
      </w:pPr>
      <w:r>
        <w:rPr>
          <w:rFonts w:ascii="Times New Roman" w:cs="Times New Roman" w:eastAsia="Times New Roman" w:hAnsi="Times New Roman"/>
          <w:sz w:val="14"/>
          <w:szCs w:val="14"/>
          <w:b w:val="1"/>
          <w:bCs w:val="1"/>
          <w:color w:val="FF0000"/>
        </w:rPr>
        <w:t>PRELIMINARY PROSPECTUS</w:t>
      </w:r>
      <w:r>
        <w:rPr>
          <w:sz w:val="20"/>
          <w:szCs w:val="20"/>
          <w:color w:val="auto"/>
        </w:rPr>
        <w:tab/>
      </w:r>
      <w:r>
        <w:rPr>
          <w:rFonts w:ascii="Times New Roman" w:cs="Times New Roman" w:eastAsia="Times New Roman" w:hAnsi="Times New Roman"/>
          <w:sz w:val="14"/>
          <w:szCs w:val="14"/>
          <w:b w:val="1"/>
          <w:bCs w:val="1"/>
          <w:color w:val="FF0000"/>
        </w:rPr>
        <w:t>SUBJECT TO COMPLETION, DATED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125730</wp:posOffset>
            </wp:positionV>
            <wp:extent cx="1221740" cy="556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17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Resale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up to 5,693,950 Shares of Common Stock</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This prospectus relates to the proposed resale by the respective selling stockholders identified below of up to an aggregate of 5,693,950 shares of our common stock, par value $0.0001 per share (our “Common Stock”), consisting of:</w:t>
      </w:r>
    </w:p>
    <w:p>
      <w:pPr>
        <w:spacing w:after="0" w:line="124" w:lineRule="exact"/>
        <w:rPr>
          <w:sz w:val="20"/>
          <w:szCs w:val="20"/>
          <w:color w:val="auto"/>
        </w:rPr>
      </w:pPr>
    </w:p>
    <w:p>
      <w:pPr>
        <w:ind w:left="520" w:hanging="258"/>
        <w:spacing w:after="0" w:line="290"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427,046 shares of our Common Stock (the “Shares”) issued on May 22, 2026 (the “Closing Date”) pursuant to that certain Securities Purchase Agreement, dated as of May 21, 2026 (the “Purchase Agreement”), by and among us and certain accredited investors (the “Investors”);</w:t>
      </w:r>
    </w:p>
    <w:p>
      <w:pPr>
        <w:spacing w:after="0" w:line="124"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2,419,929 shares of our Common Stock issuable upon the exercise of pre-funded warrants issued on the Closing Date (the “Pre-Funded Warrants” and such shares, the “Pre-Funded Warrant Shares”); and</w:t>
      </w:r>
    </w:p>
    <w:p>
      <w:pPr>
        <w:spacing w:after="0" w:line="124"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2,846,975 shares of our Common Stock issuable upon the exercise of common stock purchase warrants issued on the Closing Date (the “May 2026 Common Warrants” and such shares, the “Common Warrant Shares,” and together with the Pre-Funded Warrant Shares, the “Warrant Shares”).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May 21, 2026, we entered into the Purchase Agreement with the Investors, pursuant to which we agreed to issue and sell an aggregate of 2,846,975 units at a purchase price of $1.405 per unit, with each unit consisting of (i) one share of Common Stock or, in lieu thereof, one Pre-Funded Warrant, and (ii) one Common Warrant to purchase one share of Common Stock (the “PIPE Transaction”). In connection with the closing of the PIPE Transaction, we issued 427,046 Shares and 2,419,929 Pre-Funded Warrants, and May 2026 Common Warrants to purchase up to an aggregate of 2,846,975 shares of Common Stock, for aggregate gross proceeds of approximately $4.0 million.</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the PIPE Transaction, certain of our directors and executive officers and their affiliates purchased an aggregate of approximately $600,000 of the securities offered in the PIPE Transaction. Specifically, Hing C. Wong, our Founder and Chief Executive Officer, purchased $160,000 of securities, Scott Garrett, a member of our board of directors, purchased $250,000 of securities, and Rebecca Byam, our Chief Financial Officer, purchased $20,000 of securities. In addition, certain affiliates and associated investors, including Chris and Ling Cheung, Michael Poon and Manwah Wong, and H&amp;H Yeung Corporation, purchased an aggregate of approximately $170,000 of the securities. Such purchases were made on the same terms and conditions as those offered to the other Investors in the PIPE Transaction.</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Pre-Funded Warrants are exercisable immediately at an exercise price of $0.0001 per share and will remain exercisable until exercised in full. The May 2026 Common Warrants are exercisable immediately at an exercise price of $1.28 per share and will expire five and one-half years from the date of issuance.</w:t>
      </w:r>
    </w:p>
    <w:p>
      <w:pPr>
        <w:spacing w:after="0" w:line="12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We are registering the resale of the Shares and the Warrant Shares pursuant to the registration rights granted to the Investors in that certain Registration Rights Agreement, dated May 21, 2026, by and among us and the Investors.</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selling stockholders may offer, sell, or distribute all or a portion of the securities hereby registered publicly or through private transactions at prevailing market prices or at negotiated prices. We will not receive any proceeds from the sale of shares of our Common Stock by the selling stockholders and proceeds from the exercise of Pre-Funded Warrants will be nominal. However, we may receive proceeds from the exercise of the May 2026 Common Warrants, if exercised for cash.</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We will bear all costs, expenses and fees in connection with the registration of these securities, including with regard to compliance with state securities or “blue sky” laws. The selling stockholders will bear all commissions and discounts, if any, attributable to their sales of shares of our Common Stock. See the section entitled “Plan of Distribution” of this prospectus for additional information.</w:t>
      </w:r>
    </w:p>
    <w:p>
      <w:pPr>
        <w:spacing w:after="0" w:line="124"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symbol “HCWB”. On June 3, 2026, the last quoted sale price for our Common Stock as reported on Nasdaq was $1.68 per share.</w:t>
      </w:r>
    </w:p>
    <w:p>
      <w:pPr>
        <w:spacing w:after="0" w:line="1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b w:val="1"/>
          <w:bCs w:val="1"/>
          <w:color w:val="auto"/>
        </w:rPr>
        <w:t>We are an “emerging growth company,” as defined under the federal securities laws, and, as such, may elect to comply with certain reduced public company reporting requirements for future filings.</w:t>
      </w:r>
    </w:p>
    <w:p>
      <w:pPr>
        <w:spacing w:after="0" w:line="12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b w:val="1"/>
          <w:bCs w:val="1"/>
          <w:color w:val="auto"/>
        </w:rPr>
        <w:t>Investing in our securities is speculative and involves a high degree of risk. You should review carefully the risks and uncertainties described under the heading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9 of this prospectus before investing in our securities.</w:t>
      </w:r>
    </w:p>
    <w:p>
      <w:pPr>
        <w:spacing w:after="0" w:line="12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ind w:left="4260"/>
              <w:spacing w:after="0"/>
              <w:rPr>
                <w:sz w:val="20"/>
                <w:szCs w:val="20"/>
                <w:color w:val="auto"/>
              </w:rPr>
            </w:pPr>
            <w:r>
              <w:rPr>
                <w:rFonts w:ascii="Times New Roman" w:cs="Times New Roman" w:eastAsia="Times New Roman" w:hAnsi="Times New Roman"/>
                <w:sz w:val="14"/>
                <w:szCs w:val="14"/>
                <w:b w:val="1"/>
                <w:bCs w:val="1"/>
                <w:color w:val="auto"/>
              </w:rPr>
              <w:t>The date of this prospectus is June</w:t>
            </w:r>
          </w:p>
        </w:tc>
        <w:tc>
          <w:tcPr>
            <w:tcW w:w="4760" w:type="dxa"/>
            <w:vAlign w:val="bottom"/>
          </w:tcPr>
          <w:p>
            <w:pPr>
              <w:jc w:val="right"/>
              <w:ind w:right="4189"/>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343"/>
        </w:trPr>
        <w:tc>
          <w:tcPr>
            <w:tcW w:w="65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0"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700" w:type="dxa"/>
            <w:vAlign w:val="bottom"/>
          </w:tcPr>
          <w:p>
            <w:pPr>
              <w:spacing w:after="0"/>
              <w:rPr>
                <w:sz w:val="16"/>
                <w:szCs w:val="16"/>
                <w:color w:val="auto"/>
              </w:rPr>
            </w:pPr>
          </w:p>
        </w:tc>
      </w:tr>
      <w:tr>
        <w:trPr>
          <w:trHeight w:val="172"/>
        </w:trPr>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51"/>
        </w:trPr>
        <w:tc>
          <w:tcPr>
            <w:tcW w:w="1780" w:type="dxa"/>
            <w:vAlign w:val="bottom"/>
            <w:tcBorders>
              <w:bottom w:val="single" w:sz="8" w:color="0000EE"/>
            </w:tcBorders>
            <w:gridSpan w:val="9"/>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ABOUT THIS PROSPECTUS</w:t>
            </w:r>
          </w:p>
        </w:tc>
        <w:tc>
          <w:tcPr>
            <w:tcW w:w="6800" w:type="dxa"/>
            <w:vAlign w:val="bottom"/>
            <w:tcBorders>
              <w:bottom w:val="single" w:sz="8" w:color="CCEEFF"/>
            </w:tcBorders>
            <w:gridSpan w:val="9"/>
            <w:shd w:val="clear" w:color="auto" w:fill="CCEEFF"/>
          </w:tcPr>
          <w:p>
            <w:pPr>
              <w:spacing w:after="0"/>
              <w:rPr>
                <w:sz w:val="13"/>
                <w:szCs w:val="13"/>
                <w:color w:val="auto"/>
              </w:rPr>
            </w:pPr>
          </w:p>
        </w:tc>
        <w:tc>
          <w:tcPr>
            <w:tcW w:w="2700" w:type="dxa"/>
            <w:vAlign w:val="bottom"/>
            <w:tcBorders>
              <w:bottom w:val="single" w:sz="8" w:color="CCEEFF"/>
            </w:tcBorders>
            <w:shd w:val="clear" w:color="auto" w:fill="CCEEFF"/>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85"/>
              </w:rPr>
              <w:t>1</w:t>
            </w:r>
          </w:p>
        </w:tc>
      </w:tr>
      <w:tr>
        <w:trPr>
          <w:trHeight w:val="145"/>
        </w:trPr>
        <w:tc>
          <w:tcPr>
            <w:tcW w:w="1660" w:type="dxa"/>
            <w:vAlign w:val="bottom"/>
            <w:tcBorders>
              <w:bottom w:val="single" w:sz="8" w:color="0000EE"/>
            </w:tcBorders>
            <w:gridSpan w:val="7"/>
          </w:tcPr>
          <w:p>
            <w:pPr>
              <w:spacing w:after="0" w:line="139" w:lineRule="exact"/>
              <w:rPr>
                <w:sz w:val="20"/>
                <w:szCs w:val="20"/>
                <w:color w:val="auto"/>
              </w:rPr>
            </w:pPr>
            <w:r>
              <w:rPr>
                <w:rFonts w:ascii="Times New Roman" w:cs="Times New Roman" w:eastAsia="Times New Roman" w:hAnsi="Times New Roman"/>
                <w:sz w:val="14"/>
                <w:szCs w:val="14"/>
                <w:color w:val="0000EE"/>
              </w:rPr>
              <w:t>PROSPECTUS SUMMARY</w:t>
            </w:r>
          </w:p>
        </w:tc>
        <w:tc>
          <w:tcPr>
            <w:tcW w:w="6920" w:type="dxa"/>
            <w:vAlign w:val="bottom"/>
            <w:gridSpan w:val="11"/>
          </w:tcPr>
          <w:p>
            <w:pPr>
              <w:spacing w:after="0"/>
              <w:rPr>
                <w:sz w:val="12"/>
                <w:szCs w:val="12"/>
                <w:color w:val="auto"/>
              </w:rPr>
            </w:pPr>
          </w:p>
        </w:tc>
        <w:tc>
          <w:tcPr>
            <w:tcW w:w="2700" w:type="dxa"/>
            <w:vAlign w:val="bottom"/>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85"/>
              </w:rPr>
              <w:t>2</w:t>
            </w:r>
          </w:p>
        </w:tc>
      </w:tr>
      <w:tr>
        <w:trPr>
          <w:trHeight w:val="145"/>
        </w:trPr>
        <w:tc>
          <w:tcPr>
            <w:tcW w:w="8580" w:type="dxa"/>
            <w:vAlign w:val="bottom"/>
            <w:gridSpan w:val="1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OFFERING SUMMARY</w:t>
            </w:r>
          </w:p>
        </w:tc>
        <w:tc>
          <w:tcPr>
            <w:tcW w:w="2700" w:type="dxa"/>
            <w:vAlign w:val="bottom"/>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85"/>
              </w:rPr>
              <w:t>5</w:t>
            </w:r>
          </w:p>
        </w:tc>
      </w:tr>
      <w:tr>
        <w:trPr>
          <w:trHeight w:val="32"/>
        </w:trPr>
        <w:tc>
          <w:tcPr>
            <w:tcW w:w="6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r>
      <w:tr>
        <w:trPr>
          <w:trHeight w:val="145"/>
        </w:trPr>
        <w:tc>
          <w:tcPr>
            <w:tcW w:w="8580" w:type="dxa"/>
            <w:vAlign w:val="bottom"/>
            <w:gridSpan w:val="18"/>
          </w:tcPr>
          <w:p>
            <w:pPr>
              <w:spacing w:after="0" w:line="139"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2700" w:type="dxa"/>
            <w:vAlign w:val="bottom"/>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85"/>
              </w:rPr>
              <w:t>7</w:t>
            </w:r>
          </w:p>
        </w:tc>
      </w:tr>
      <w:tr>
        <w:trPr>
          <w:trHeight w:val="157"/>
        </w:trPr>
        <w:tc>
          <w:tcPr>
            <w:tcW w:w="1000" w:type="dxa"/>
            <w:vAlign w:val="bottom"/>
            <w:tcBorders>
              <w:top w:val="single" w:sz="8" w:color="0000EE"/>
              <w:bottom w:val="single" w:sz="8" w:color="0000EE"/>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9"/>
              </w:rPr>
              <w:t>RISK FACTORS</w:t>
            </w:r>
          </w:p>
        </w:tc>
        <w:tc>
          <w:tcPr>
            <w:tcW w:w="4020" w:type="dxa"/>
            <w:vAlign w:val="bottom"/>
            <w:tcBorders>
              <w:top w:val="single" w:sz="8" w:color="0000EE"/>
              <w:bottom w:val="single" w:sz="8" w:color="CCEEFF"/>
            </w:tcBorders>
            <w:gridSpan w:val="15"/>
            <w:shd w:val="clear" w:color="auto" w:fill="CCEEFF"/>
          </w:tcPr>
          <w:p>
            <w:pPr>
              <w:spacing w:after="0"/>
              <w:rPr>
                <w:sz w:val="13"/>
                <w:szCs w:val="13"/>
                <w:color w:val="auto"/>
              </w:rPr>
            </w:pPr>
          </w:p>
        </w:tc>
        <w:tc>
          <w:tcPr>
            <w:tcW w:w="3560" w:type="dxa"/>
            <w:vAlign w:val="bottom"/>
            <w:tcBorders>
              <w:bottom w:val="single" w:sz="8" w:color="CCEEFF"/>
            </w:tcBorders>
            <w:shd w:val="clear" w:color="auto" w:fill="CCEEFF"/>
          </w:tcPr>
          <w:p>
            <w:pPr>
              <w:spacing w:after="0"/>
              <w:rPr>
                <w:sz w:val="13"/>
                <w:szCs w:val="13"/>
                <w:color w:val="auto"/>
              </w:rPr>
            </w:pPr>
          </w:p>
        </w:tc>
        <w:tc>
          <w:tcPr>
            <w:tcW w:w="2700" w:type="dxa"/>
            <w:vAlign w:val="bottom"/>
            <w:tcBorders>
              <w:bottom w:val="single" w:sz="8" w:color="CCEEFF"/>
            </w:tcBorders>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85"/>
              </w:rPr>
              <w:t>9</w:t>
            </w:r>
          </w:p>
        </w:tc>
      </w:tr>
      <w:tr>
        <w:trPr>
          <w:trHeight w:val="145"/>
        </w:trPr>
        <w:tc>
          <w:tcPr>
            <w:tcW w:w="1660" w:type="dxa"/>
            <w:vAlign w:val="bottom"/>
            <w:tcBorders>
              <w:bottom w:val="single" w:sz="8" w:color="0000EE"/>
            </w:tcBorders>
            <w:gridSpan w:val="7"/>
          </w:tcPr>
          <w:p>
            <w:pPr>
              <w:spacing w:after="0" w:line="139" w:lineRule="exact"/>
              <w:rPr>
                <w:sz w:val="20"/>
                <w:szCs w:val="20"/>
                <w:color w:val="auto"/>
              </w:rPr>
            </w:pPr>
            <w:r>
              <w:rPr>
                <w:rFonts w:ascii="Times New Roman" w:cs="Times New Roman" w:eastAsia="Times New Roman" w:hAnsi="Times New Roman"/>
                <w:sz w:val="14"/>
                <w:szCs w:val="14"/>
                <w:color w:val="0000EE"/>
              </w:rPr>
              <w:t>THE PIPE TRANSACTION</w:t>
            </w:r>
          </w:p>
        </w:tc>
        <w:tc>
          <w:tcPr>
            <w:tcW w:w="6920" w:type="dxa"/>
            <w:vAlign w:val="bottom"/>
            <w:gridSpan w:val="11"/>
          </w:tcPr>
          <w:p>
            <w:pPr>
              <w:spacing w:after="0"/>
              <w:rPr>
                <w:sz w:val="12"/>
                <w:szCs w:val="12"/>
                <w:color w:val="auto"/>
              </w:rPr>
            </w:pPr>
          </w:p>
        </w:tc>
        <w:tc>
          <w:tcPr>
            <w:tcW w:w="2700" w:type="dxa"/>
            <w:vAlign w:val="bottom"/>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99"/>
              </w:rPr>
              <w:t>14</w:t>
            </w:r>
          </w:p>
        </w:tc>
      </w:tr>
      <w:tr>
        <w:trPr>
          <w:trHeight w:val="157"/>
        </w:trPr>
        <w:tc>
          <w:tcPr>
            <w:tcW w:w="1260" w:type="dxa"/>
            <w:vAlign w:val="bottom"/>
            <w:tcBorders>
              <w:bottom w:val="single" w:sz="8" w:color="0000EE"/>
            </w:tcBorders>
            <w:gridSpan w:val="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7320" w:type="dxa"/>
            <w:vAlign w:val="bottom"/>
            <w:tcBorders>
              <w:bottom w:val="single" w:sz="8" w:color="CCEEFF"/>
            </w:tcBorders>
            <w:gridSpan w:val="14"/>
            <w:shd w:val="clear" w:color="auto" w:fill="CCEEFF"/>
          </w:tcPr>
          <w:p>
            <w:pPr>
              <w:spacing w:after="0"/>
              <w:rPr>
                <w:sz w:val="13"/>
                <w:szCs w:val="13"/>
                <w:color w:val="auto"/>
              </w:rPr>
            </w:pPr>
          </w:p>
        </w:tc>
        <w:tc>
          <w:tcPr>
            <w:tcW w:w="2700" w:type="dxa"/>
            <w:vAlign w:val="bottom"/>
            <w:tcBorders>
              <w:bottom w:val="single" w:sz="8" w:color="CCEEFF"/>
            </w:tcBorders>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99"/>
              </w:rPr>
              <w:t>15</w:t>
            </w:r>
          </w:p>
        </w:tc>
      </w:tr>
      <w:tr>
        <w:trPr>
          <w:trHeight w:val="145"/>
        </w:trPr>
        <w:tc>
          <w:tcPr>
            <w:tcW w:w="8580" w:type="dxa"/>
            <w:vAlign w:val="bottom"/>
            <w:gridSpan w:val="18"/>
          </w:tcPr>
          <w:p>
            <w:pPr>
              <w:spacing w:after="0" w:line="139" w:lineRule="exact"/>
              <w:rPr>
                <w:sz w:val="20"/>
                <w:szCs w:val="20"/>
                <w:color w:val="auto"/>
              </w:rPr>
            </w:pPr>
            <w:r>
              <w:rPr>
                <w:rFonts w:ascii="Times New Roman" w:cs="Times New Roman" w:eastAsia="Times New Roman" w:hAnsi="Times New Roman"/>
                <w:sz w:val="14"/>
                <w:szCs w:val="14"/>
                <w:color w:val="0000EE"/>
              </w:rPr>
              <w:t>MARKET PRICE OF OUR COMMON STOCK AND DIVIDEND INFORMATION</w:t>
            </w:r>
          </w:p>
        </w:tc>
        <w:tc>
          <w:tcPr>
            <w:tcW w:w="2700" w:type="dxa"/>
            <w:vAlign w:val="bottom"/>
          </w:tcPr>
          <w:p>
            <w:pPr>
              <w:jc w:val="right"/>
              <w:ind w:right="329"/>
              <w:spacing w:after="0" w:line="139" w:lineRule="exact"/>
              <w:rPr>
                <w:sz w:val="20"/>
                <w:szCs w:val="20"/>
                <w:color w:val="auto"/>
              </w:rPr>
            </w:pPr>
            <w:r>
              <w:rPr>
                <w:rFonts w:ascii="Times New Roman" w:cs="Times New Roman" w:eastAsia="Times New Roman" w:hAnsi="Times New Roman"/>
                <w:sz w:val="14"/>
                <w:szCs w:val="14"/>
                <w:color w:val="auto"/>
              </w:rPr>
              <w:t>16</w:t>
            </w:r>
          </w:p>
        </w:tc>
      </w:tr>
      <w:tr>
        <w:trPr>
          <w:trHeight w:val="157"/>
        </w:trPr>
        <w:tc>
          <w:tcPr>
            <w:tcW w:w="4880" w:type="dxa"/>
            <w:vAlign w:val="bottom"/>
            <w:tcBorders>
              <w:top w:val="single" w:sz="8" w:color="0000EE"/>
            </w:tcBorders>
            <w:gridSpan w:val="16"/>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BENEFICIAL OWNERSHIP OF SECURITIES</w:t>
            </w:r>
          </w:p>
        </w:tc>
        <w:tc>
          <w:tcPr>
            <w:tcW w:w="3700" w:type="dxa"/>
            <w:vAlign w:val="bottom"/>
            <w:gridSpan w:val="2"/>
            <w:shd w:val="clear" w:color="auto" w:fill="CCEEFF"/>
          </w:tcPr>
          <w:p>
            <w:pPr>
              <w:spacing w:after="0"/>
              <w:rPr>
                <w:sz w:val="13"/>
                <w:szCs w:val="13"/>
                <w:color w:val="auto"/>
              </w:rPr>
            </w:pPr>
          </w:p>
        </w:tc>
        <w:tc>
          <w:tcPr>
            <w:tcW w:w="2700" w:type="dxa"/>
            <w:vAlign w:val="bottom"/>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99"/>
              </w:rPr>
              <w:t>17</w:t>
            </w:r>
          </w:p>
        </w:tc>
      </w:tr>
      <w:tr>
        <w:trPr>
          <w:trHeight w:val="145"/>
        </w:trPr>
        <w:tc>
          <w:tcPr>
            <w:tcW w:w="1760" w:type="dxa"/>
            <w:vAlign w:val="bottom"/>
            <w:tcBorders>
              <w:top w:val="single" w:sz="8" w:color="0000EE"/>
              <w:bottom w:val="single" w:sz="8" w:color="0000EE"/>
            </w:tcBorders>
            <w:gridSpan w:val="8"/>
          </w:tcPr>
          <w:p>
            <w:pPr>
              <w:spacing w:after="0" w:line="139" w:lineRule="exact"/>
              <w:rPr>
                <w:sz w:val="20"/>
                <w:szCs w:val="20"/>
                <w:color w:val="auto"/>
              </w:rPr>
            </w:pPr>
            <w:r>
              <w:rPr>
                <w:rFonts w:ascii="Times New Roman" w:cs="Times New Roman" w:eastAsia="Times New Roman" w:hAnsi="Times New Roman"/>
                <w:sz w:val="14"/>
                <w:szCs w:val="14"/>
                <w:color w:val="0000EE"/>
              </w:rPr>
              <w:t>SELLING STOCKHOLDERS</w:t>
            </w:r>
          </w:p>
        </w:tc>
        <w:tc>
          <w:tcPr>
            <w:tcW w:w="1000" w:type="dxa"/>
            <w:vAlign w:val="bottom"/>
            <w:tcBorders>
              <w:top w:val="single" w:sz="8" w:color="0000EE"/>
            </w:tcBorders>
            <w:gridSpan w:val="3"/>
          </w:tcPr>
          <w:p>
            <w:pPr>
              <w:spacing w:after="0"/>
              <w:rPr>
                <w:sz w:val="12"/>
                <w:szCs w:val="12"/>
                <w:color w:val="auto"/>
              </w:rPr>
            </w:pPr>
          </w:p>
        </w:tc>
        <w:tc>
          <w:tcPr>
            <w:tcW w:w="5820" w:type="dxa"/>
            <w:vAlign w:val="bottom"/>
            <w:tcBorders>
              <w:top w:val="single" w:sz="8" w:color="CCEEFF"/>
            </w:tcBorders>
            <w:gridSpan w:val="7"/>
          </w:tcPr>
          <w:p>
            <w:pPr>
              <w:spacing w:after="0"/>
              <w:rPr>
                <w:sz w:val="12"/>
                <w:szCs w:val="12"/>
                <w:color w:val="auto"/>
              </w:rPr>
            </w:pPr>
          </w:p>
        </w:tc>
        <w:tc>
          <w:tcPr>
            <w:tcW w:w="2700" w:type="dxa"/>
            <w:vAlign w:val="bottom"/>
            <w:tcBorders>
              <w:top w:val="single" w:sz="8" w:color="CCEEFF"/>
            </w:tcBorders>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99"/>
              </w:rPr>
              <w:t>18</w:t>
            </w:r>
          </w:p>
        </w:tc>
      </w:tr>
      <w:tr>
        <w:trPr>
          <w:trHeight w:val="157"/>
        </w:trPr>
        <w:tc>
          <w:tcPr>
            <w:tcW w:w="4340" w:type="dxa"/>
            <w:vAlign w:val="bottom"/>
            <w:tcBorders>
              <w:bottom w:val="single" w:sz="8" w:color="0000EE"/>
            </w:tcBorders>
            <w:gridSpan w:val="1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9"/>
              </w:rPr>
              <w:t>CERTAIN RELATIONSHIPS AND RELATED PARTY TRANSACTIONS</w:t>
            </w:r>
          </w:p>
        </w:tc>
        <w:tc>
          <w:tcPr>
            <w:tcW w:w="4240" w:type="dxa"/>
            <w:vAlign w:val="bottom"/>
            <w:tcBorders>
              <w:bottom w:val="single" w:sz="8" w:color="CCEEFF"/>
            </w:tcBorders>
            <w:gridSpan w:val="4"/>
            <w:shd w:val="clear" w:color="auto" w:fill="CCEEFF"/>
          </w:tcPr>
          <w:p>
            <w:pPr>
              <w:spacing w:after="0"/>
              <w:rPr>
                <w:sz w:val="13"/>
                <w:szCs w:val="13"/>
                <w:color w:val="auto"/>
              </w:rPr>
            </w:pPr>
          </w:p>
        </w:tc>
        <w:tc>
          <w:tcPr>
            <w:tcW w:w="2700" w:type="dxa"/>
            <w:vAlign w:val="bottom"/>
            <w:tcBorders>
              <w:bottom w:val="single" w:sz="8" w:color="CCEEFF"/>
            </w:tcBorders>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99"/>
              </w:rPr>
              <w:t>20</w:t>
            </w:r>
          </w:p>
        </w:tc>
      </w:tr>
      <w:tr>
        <w:trPr>
          <w:trHeight w:val="139"/>
        </w:trPr>
        <w:tc>
          <w:tcPr>
            <w:tcW w:w="8580" w:type="dxa"/>
            <w:vAlign w:val="bottom"/>
            <w:gridSpan w:val="18"/>
          </w:tcPr>
          <w:p>
            <w:pPr>
              <w:spacing w:after="0" w:line="139" w:lineRule="exact"/>
              <w:rPr>
                <w:sz w:val="20"/>
                <w:szCs w:val="20"/>
                <w:color w:val="auto"/>
              </w:rPr>
            </w:pPr>
            <w:r>
              <w:rPr>
                <w:rFonts w:ascii="Times New Roman" w:cs="Times New Roman" w:eastAsia="Times New Roman" w:hAnsi="Times New Roman"/>
                <w:sz w:val="14"/>
                <w:szCs w:val="14"/>
                <w:color w:val="0000EE"/>
              </w:rPr>
              <w:t>DESCRIPTION OF OUR SECURITIES</w:t>
            </w:r>
          </w:p>
        </w:tc>
        <w:tc>
          <w:tcPr>
            <w:tcW w:w="2700" w:type="dxa"/>
            <w:vAlign w:val="bottom"/>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99"/>
              </w:rPr>
              <w:t>23</w:t>
            </w:r>
          </w:p>
        </w:tc>
      </w:tr>
      <w:tr>
        <w:trPr>
          <w:trHeight w:val="26"/>
        </w:trPr>
        <w:tc>
          <w:tcPr>
            <w:tcW w:w="6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157"/>
        </w:trPr>
        <w:tc>
          <w:tcPr>
            <w:tcW w:w="4400" w:type="dxa"/>
            <w:vAlign w:val="bottom"/>
            <w:tcBorders>
              <w:bottom w:val="single" w:sz="8" w:color="0000EE"/>
            </w:tcBorders>
            <w:gridSpan w:val="15"/>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SECURITIES ACT RESTRICTIONS ON RESALE OF COMMON STOCK</w:t>
            </w:r>
          </w:p>
        </w:tc>
        <w:tc>
          <w:tcPr>
            <w:tcW w:w="4180" w:type="dxa"/>
            <w:vAlign w:val="bottom"/>
            <w:tcBorders>
              <w:bottom w:val="single" w:sz="8" w:color="CCEEFF"/>
            </w:tcBorders>
            <w:gridSpan w:val="3"/>
            <w:shd w:val="clear" w:color="auto" w:fill="CCEEFF"/>
          </w:tcPr>
          <w:p>
            <w:pPr>
              <w:spacing w:after="0"/>
              <w:rPr>
                <w:sz w:val="13"/>
                <w:szCs w:val="13"/>
                <w:color w:val="auto"/>
              </w:rPr>
            </w:pPr>
          </w:p>
        </w:tc>
        <w:tc>
          <w:tcPr>
            <w:tcW w:w="2700" w:type="dxa"/>
            <w:vAlign w:val="bottom"/>
            <w:tcBorders>
              <w:bottom w:val="single" w:sz="8" w:color="CCEEFF"/>
            </w:tcBorders>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99"/>
              </w:rPr>
              <w:t>29</w:t>
            </w:r>
          </w:p>
        </w:tc>
      </w:tr>
      <w:tr>
        <w:trPr>
          <w:trHeight w:val="145"/>
        </w:trPr>
        <w:tc>
          <w:tcPr>
            <w:tcW w:w="8580" w:type="dxa"/>
            <w:vAlign w:val="bottom"/>
            <w:gridSpan w:val="18"/>
          </w:tcPr>
          <w:p>
            <w:pPr>
              <w:spacing w:after="0" w:line="139" w:lineRule="exact"/>
              <w:rPr>
                <w:sz w:val="20"/>
                <w:szCs w:val="20"/>
                <w:color w:val="auto"/>
              </w:rPr>
            </w:pPr>
            <w:r>
              <w:rPr>
                <w:rFonts w:ascii="Times New Roman" w:cs="Times New Roman" w:eastAsia="Times New Roman" w:hAnsi="Times New Roman"/>
                <w:sz w:val="14"/>
                <w:szCs w:val="14"/>
                <w:color w:val="0000EE"/>
              </w:rPr>
              <w:t>PLAN OF DISTRIBUTION</w:t>
            </w:r>
          </w:p>
        </w:tc>
        <w:tc>
          <w:tcPr>
            <w:tcW w:w="2700" w:type="dxa"/>
            <w:vAlign w:val="bottom"/>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99"/>
              </w:rPr>
              <w:t>30</w:t>
            </w:r>
          </w:p>
        </w:tc>
      </w:tr>
      <w:tr>
        <w:trPr>
          <w:trHeight w:val="157"/>
        </w:trPr>
        <w:tc>
          <w:tcPr>
            <w:tcW w:w="1160" w:type="dxa"/>
            <w:vAlign w:val="bottom"/>
            <w:tcBorders>
              <w:top w:val="single" w:sz="8" w:color="0000EE"/>
              <w:bottom w:val="single" w:sz="8" w:color="0000EE"/>
            </w:tcBorders>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9"/>
              </w:rPr>
              <w:t>LEGAL MATTERS</w:t>
            </w:r>
          </w:p>
        </w:tc>
        <w:tc>
          <w:tcPr>
            <w:tcW w:w="46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6960" w:type="dxa"/>
            <w:vAlign w:val="bottom"/>
            <w:tcBorders>
              <w:bottom w:val="single" w:sz="8" w:color="CCEEFF"/>
            </w:tcBorders>
            <w:gridSpan w:val="12"/>
            <w:shd w:val="clear" w:color="auto" w:fill="CCEEFF"/>
          </w:tcPr>
          <w:p>
            <w:pPr>
              <w:spacing w:after="0"/>
              <w:rPr>
                <w:sz w:val="13"/>
                <w:szCs w:val="13"/>
                <w:color w:val="auto"/>
              </w:rPr>
            </w:pPr>
          </w:p>
        </w:tc>
        <w:tc>
          <w:tcPr>
            <w:tcW w:w="2700" w:type="dxa"/>
            <w:vAlign w:val="bottom"/>
            <w:tcBorders>
              <w:bottom w:val="single" w:sz="8" w:color="CCEEFF"/>
            </w:tcBorders>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99"/>
              </w:rPr>
              <w:t>31</w:t>
            </w:r>
          </w:p>
        </w:tc>
      </w:tr>
      <w:tr>
        <w:trPr>
          <w:trHeight w:val="145"/>
        </w:trPr>
        <w:tc>
          <w:tcPr>
            <w:tcW w:w="620" w:type="dxa"/>
            <w:vAlign w:val="bottom"/>
            <w:tcBorders>
              <w:bottom w:val="single" w:sz="8" w:color="0000EE"/>
            </w:tcBorders>
          </w:tcPr>
          <w:p>
            <w:pPr>
              <w:spacing w:after="0" w:line="139" w:lineRule="exact"/>
              <w:rPr>
                <w:sz w:val="20"/>
                <w:szCs w:val="20"/>
                <w:color w:val="auto"/>
              </w:rPr>
            </w:pPr>
            <w:r>
              <w:rPr>
                <w:rFonts w:ascii="Times New Roman" w:cs="Times New Roman" w:eastAsia="Times New Roman" w:hAnsi="Times New Roman"/>
                <w:sz w:val="14"/>
                <w:szCs w:val="14"/>
                <w:color w:val="0000EE"/>
                <w:w w:val="98"/>
              </w:rPr>
              <w:t>EXPERTS</w:t>
            </w:r>
          </w:p>
        </w:tc>
        <w:tc>
          <w:tcPr>
            <w:tcW w:w="7960" w:type="dxa"/>
            <w:vAlign w:val="bottom"/>
            <w:gridSpan w:val="17"/>
          </w:tcPr>
          <w:p>
            <w:pPr>
              <w:spacing w:after="0"/>
              <w:rPr>
                <w:sz w:val="12"/>
                <w:szCs w:val="12"/>
                <w:color w:val="auto"/>
              </w:rPr>
            </w:pPr>
          </w:p>
        </w:tc>
        <w:tc>
          <w:tcPr>
            <w:tcW w:w="2700" w:type="dxa"/>
            <w:vAlign w:val="bottom"/>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99"/>
              </w:rPr>
              <w:t>31</w:t>
            </w:r>
          </w:p>
        </w:tc>
      </w:tr>
      <w:tr>
        <w:trPr>
          <w:trHeight w:val="145"/>
        </w:trPr>
        <w:tc>
          <w:tcPr>
            <w:tcW w:w="8580" w:type="dxa"/>
            <w:vAlign w:val="bottom"/>
            <w:gridSpan w:val="1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2700" w:type="dxa"/>
            <w:vAlign w:val="bottom"/>
            <w:shd w:val="clear" w:color="auto" w:fill="CCEEFF"/>
          </w:tcPr>
          <w:p>
            <w:pPr>
              <w:jc w:val="center"/>
              <w:ind w:left="1729"/>
              <w:spacing w:after="0" w:line="145" w:lineRule="exact"/>
              <w:rPr>
                <w:sz w:val="20"/>
                <w:szCs w:val="20"/>
                <w:color w:val="auto"/>
              </w:rPr>
            </w:pPr>
            <w:r>
              <w:rPr>
                <w:rFonts w:ascii="Times New Roman" w:cs="Times New Roman" w:eastAsia="Times New Roman" w:hAnsi="Times New Roman"/>
                <w:sz w:val="14"/>
                <w:szCs w:val="14"/>
                <w:color w:val="auto"/>
                <w:w w:val="99"/>
              </w:rPr>
              <w:t>31</w:t>
            </w:r>
          </w:p>
        </w:tc>
      </w:tr>
      <w:tr>
        <w:trPr>
          <w:trHeight w:val="32"/>
        </w:trPr>
        <w:tc>
          <w:tcPr>
            <w:tcW w:w="6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r>
      <w:tr>
        <w:trPr>
          <w:trHeight w:val="139"/>
        </w:trPr>
        <w:tc>
          <w:tcPr>
            <w:tcW w:w="4020" w:type="dxa"/>
            <w:vAlign w:val="bottom"/>
            <w:tcBorders>
              <w:bottom w:val="single" w:sz="8" w:color="0000EE"/>
            </w:tcBorders>
            <w:gridSpan w:val="13"/>
          </w:tcPr>
          <w:p>
            <w:pPr>
              <w:spacing w:after="0" w:line="139"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4560" w:type="dxa"/>
            <w:vAlign w:val="bottom"/>
            <w:gridSpan w:val="5"/>
          </w:tcPr>
          <w:p>
            <w:pPr>
              <w:spacing w:after="0"/>
              <w:rPr>
                <w:sz w:val="12"/>
                <w:szCs w:val="12"/>
                <w:color w:val="auto"/>
              </w:rPr>
            </w:pPr>
          </w:p>
        </w:tc>
        <w:tc>
          <w:tcPr>
            <w:tcW w:w="2700" w:type="dxa"/>
            <w:vAlign w:val="bottom"/>
          </w:tcPr>
          <w:p>
            <w:pPr>
              <w:jc w:val="center"/>
              <w:ind w:left="1729"/>
              <w:spacing w:after="0" w:line="139" w:lineRule="exact"/>
              <w:rPr>
                <w:sz w:val="20"/>
                <w:szCs w:val="20"/>
                <w:color w:val="auto"/>
              </w:rPr>
            </w:pPr>
            <w:r>
              <w:rPr>
                <w:rFonts w:ascii="Times New Roman" w:cs="Times New Roman" w:eastAsia="Times New Roman" w:hAnsi="Times New Roman"/>
                <w:sz w:val="14"/>
                <w:szCs w:val="14"/>
                <w:color w:val="auto"/>
                <w:w w:val="99"/>
              </w:rPr>
              <w:t>32</w:t>
            </w:r>
          </w:p>
        </w:tc>
      </w:tr>
    </w:tbl>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The registration statement containing this prospectus, including the exhibits to the registration statement, provides additional information about us and the securities offered under this prospectus. The registration statement, including the exhibits, can be read on our website and the website of the Securities and Exchange Commission. See “Where You Can Find More Information.”</w:t>
      </w:r>
    </w:p>
    <w:p>
      <w:pPr>
        <w:spacing w:after="0" w:line="1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Information contained in, and that can be accessed through our web site, www.hcwbiologics.com shall not be deemed to be part of this prospectus or incorporated herein by reference and should not be relied upon by any prospective investors for the purposes of determining whether to purchase the shares offered hereunder.</w:t>
      </w:r>
    </w:p>
    <w:p>
      <w:pPr>
        <w:spacing w:after="0" w:line="12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Unless the context otherwise requires, the terms “we,” “us,” “our,” the “Company,” “HCW Biologics,” “HCWB,” and “our business” refer to HCW Biologics Inc. and “this offering” refers to the offering contemplated in this prospectus.</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the circumstances and in jurisdictions where it is lawful to do so. The information contained in this prospectus or in any applicable free writing prospectus is current only as of its date, regardless of its time of delivery or any sale of securities hereunder. Our business, financial condition, results of operations and prospects may have changed since that date. We are not, and the selling stockholders are not, making an offer of these securities in any jurisdiction where such offer is not permitted.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This prospectus describes the general manner in which the selling stockholders identified in this prospectus may offer, from time to time, (1) shares of our Common Stock issued in connection with our private placement transaction consummated on May 22, 2026 (the “PIPE Transaction”), (2) shares of our Common Stock issuable upon the exercise of Pre-Funded Warrants issued in the PIPE Transaction, and (3) shares of our Common Stock issuable upon the exercise of the May 2026 Common Warrants issued in the PIPE Transaction, in each case as described below. We are not selling any securities under this prospectus and will not receive any proceeds from the sale of shares of our Common Stock by the selling stockholders.</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This prospectus provides you with general information regarding the securities being offered by the selling stockholders. You should read this prospectus as well as the additional information described under the headings “Information Incorporated by Reference” and “Where You Can Find More Information” before making an investment decision.</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No person has been authorized to give any information or to make any representations other than those contained in this prospectus in connection with the offering made hereby, and if given or made, such information or representations must not be relied upon as having been authorized by us, the selling stockholders or by any other person. Neither the delivery of this prospectus nor any sale made hereunder shall, under any circumstances, create any implication that information herein is correct as of any time subsequent to the date hereof. This prospectus does not constitute an offer to sell or a solicitation of an offer to buy any security other than the securities covered by this prospectus, nor does it constitute an offer to or solicitation of any person in any jurisdiction in which such offer or solicitation may not lawfully be made.</w:t>
      </w:r>
    </w:p>
    <w:p>
      <w:pPr>
        <w:spacing w:after="0" w:line="1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document may only be used where it is legal to sell these securities. The information contained in this prospectus (and in any supplement or amendment to this prospectus) is accurate only as of the date on the front of the document, and any information we have incorporated by reference is accurate only as of the date of the document incorporated by reference, regardless of the time of delivery of this prospectus or any sale of our securities. Our business, financial condition, results of operations and prospects may have changed since those dates.</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References to “selling stockholders” refers to the security holders identified herein in the section titled “Selling Stockholders” beginning on page 17 of this prospectus, who may sell securities from time to time as described in this prospectus.</w:t>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Unless otherwise indicated, information contained in or incorporated by reference into this prospectus concerning our business and the industry and markets in which we operate, including with respect to our business prospects, our market position and opportunity, and the competitive landscape, is based on information from our management’s estimates, as well as from industry publications, surveys, and studies conducted by third parties. Our management’s estimates are derived from publicly available information, their knowledge of our business and industry, and assumptions based on such information and knowledge, which they believe to be reasonable. In addition, while we believe that information contained in the industry publications, surveys, and studies has been obtained from reliable sources, we have not independently verified any of the data contained in these third-party sources, and the accuracy and completeness of the information contained in these sources is not guaranteed.</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in this prospectus and any related free writing prospectus, and under similar headings in the other documents that are incorporated by reference into this prospectus, including in our Annual Report on Form 10-K for the year ended December 31, 2025, filed with the Securities and Exchange Commission (the “SEC”) on March 31, 2026, and our Quarterly Report on Form 10-Q for the three months ended March 31, 2026, filed with the SEC on May 14,2026. Accordingly, you should not place undue reliance on this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The SEC allows us to “incorporate by reference” certain information that we file with the SEC, which means that we can disclose important information to you by referring you to those documents. The information incorporated by reference is considered to be part of this prospectus, and information that we file later with the SEC will update automatically, supplement and/or supersede the information disclosed in this prospectus. Any statement contained in a document incorporated or deemed to be incorporated by reference in this prospectus shall be deemed to be modified or superseded for purposes of this prospectus to the extent that a statement contained in this prospectus or in any other document that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securities and our financial statements and notes to those statements included in this prospectus. This summary highlights selected information contained elsewhere or incorporated by reference in this prospectus. This summary may not contain all the information that you should consider before determining whether to invest in our securities. You should read the entire prospectus carefully, including the information included in the “Risk Factors” section, as well as our financial statements, notes to the financial statements and the other information included or incorporated by reference in this prospectus, before making an investment decision.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HCW Biologics Inc. (“HCW Biologics” or the “Company”) is a clinical-stage biopharmaceutical company developing transformative fusion immunotherapeutics to treat or support treatment of diseases promoted by chronic inflammation. We have created novel compounds that represent a new class of drugs that we believe have the potential to fundamentally change the treatment of autoimmune disorders and other proinflammatory diseases, cancer and senescence-associated dysplasia. Among other things, we have begun commercialization of certain commercial-ready proprietary compounds for use as reagents in the production of immunotherapeutics for the treatment of infectious diseases and cancer. We want our products to improve patients’ healthspan as well as their quality of life, and possibly extend longevity.</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Chronic inflammation is believed to be a significant contributing factor to the cause for many diseases and conditions that diminish health span and quality of life. The induction and retention of low-grade inflammation in the human body is mainly the result of persistent activation of immune cells and the accumulation of non-proliferative but metabolically active senescent cells.</w:t>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Senescence is a physiologic process important in promoting wound healing, tissue homeostasis, regeneration, embryogenesis, fibrosis regulation, and tumorigenesis suppression. However, accumulation of senescent cells with Senescence-Associated Phenotype (“SASP”) proinflammatory factors has been implicated as a major source of chronic sterile inflammation leading to many aging-related pathologies. SASP factors, including proinflammatory cytokines, chemokines, and proteinases, drive an inflammation cycle. Senescence is considered a stress response and can be induced by a wide range of intrinsic and extrinsic insults. Over time, these insults cause normal tissue cells to enter a senescent state of irreversible growth arrest accompanied by the release of SASP factors. The inflammation cycle promoted by SASP factors also activates immune cells. Similar to senescent cells, prolonged activation of immune cells promote the release of highly proinflammatory cytokines. Unresolved activation of immune cells leads to chronic low-grade inflammation, which perpetuates this cycle.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Two of the Company’s proprietary molecules, HCW9201 and HCW9206, are commercial-ready to be used as reagents in the production of immunotherapeutic treatments. On March 13, 2026, Science Advances, a peer-reviewed, high-impact journal, released a publication with the Company’s data that showed the Company’s proprietary, commercial-ready compound, HCW9206, could fundamentally change how CAR-T cell therapies are manufactured and potentially improve how they perform against diseases such as cancer and HIV. These findings support the Company’s belief that HCW9206 is a leap forward in both clinical potential and manufacturing efficiency.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The Company has developed two proprietary drug discovery and development platforms which we use to create novel fusion immunotherapeutics:</w:t>
      </w:r>
    </w:p>
    <w:p>
      <w:pPr>
        <w:spacing w:after="0" w:line="185" w:lineRule="exact"/>
        <w:rPr>
          <w:sz w:val="20"/>
          <w:szCs w:val="20"/>
          <w:color w:val="auto"/>
        </w:rPr>
      </w:pPr>
    </w:p>
    <w:p>
      <w:pPr>
        <w:jc w:val="both"/>
        <w:ind w:firstLine="513"/>
        <w:spacing w:after="0" w:line="216"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TOBI™ (Tissue factOr-Based fusIon) platform. </w:t>
      </w:r>
      <w:r>
        <w:rPr>
          <w:rFonts w:ascii="Times New Roman" w:cs="Times New Roman" w:eastAsia="Times New Roman" w:hAnsi="Times New Roman"/>
          <w:sz w:val="14"/>
          <w:szCs w:val="14"/>
          <w:color w:val="auto"/>
        </w:rPr>
        <w:t>The TOBI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platform is designed to engineer multi-functional fusion protein molecules and protein complexes that rebalance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immune system. It employs a Tissue Factor (“TF”) scaffold that can be packaged with multiple protein targets, including cytokines, chemokines, ligands, receptors, and single-chain antibodies.</w:t>
      </w:r>
    </w:p>
    <w:p>
      <w:pPr>
        <w:spacing w:after="0" w:line="154" w:lineRule="exact"/>
        <w:rPr>
          <w:sz w:val="20"/>
          <w:szCs w:val="20"/>
          <w:color w:val="auto"/>
        </w:rPr>
      </w:pPr>
    </w:p>
    <w:p>
      <w:pPr>
        <w:jc w:val="both"/>
        <w:ind w:firstLine="513"/>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T-cell Receptor β Chain constant region (“TRBC”) platform. </w:t>
      </w:r>
      <w:r>
        <w:rPr>
          <w:rFonts w:ascii="Times New Roman" w:cs="Times New Roman" w:eastAsia="Times New Roman" w:hAnsi="Times New Roman"/>
          <w:sz w:val="14"/>
          <w:szCs w:val="14"/>
          <w:color w:val="auto"/>
        </w:rPr>
        <w:t>The TRBC platform is designed to engineer multi-function fusion protein molecules and protein complexes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rejuvenate the immune system. It employs a protein-based scaffold that can be packaged with multiple elements, including multi-specific cytokines, immune checkpoint inhibitors, and immune-cell engagers.</w:t>
      </w:r>
    </w:p>
    <w:p>
      <w:pPr>
        <w:spacing w:after="0" w:line="3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clinical development programs are based on a few select lead product candidates which will be advanced in Company-sponsored clinical trials or in partnership with a corporate partner. Our clinical development and financing strategy consider business development transactions as a key component for our plans to develop breakthrough therapeutics. We regularly assess our product portfolio to determine if clinical development through a corporate partnership is the optimal means to advance clinical development and commercialization.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Lead Product Candidates in Clinical Development</w:t>
      </w:r>
    </w:p>
    <w:p>
      <w:pPr>
        <w:spacing w:after="0" w:line="185" w:lineRule="exact"/>
        <w:rPr>
          <w:sz w:val="20"/>
          <w:szCs w:val="20"/>
          <w:color w:val="auto"/>
        </w:rPr>
      </w:pPr>
    </w:p>
    <w:p>
      <w:pPr>
        <w:jc w:val="both"/>
        <w:ind w:left="520" w:hanging="258"/>
        <w:spacing w:after="0" w:line="232"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HCW9302 is a clinical-stage compound that is an injectable, first-in-kind interleukin 2 (“IL-2”) fusion protein complex constructed using the Company’s proprietary TOBI platform technology. Its mechanism of action involves binding to IL-2αβγ receptors predominantly expressed on regulatory T (“T</w:t>
      </w:r>
      <w:r>
        <w:rPr>
          <w:rFonts w:ascii="Times New Roman" w:cs="Times New Roman" w:eastAsia="Times New Roman" w:hAnsi="Times New Roman"/>
          <w:sz w:val="23"/>
          <w:szCs w:val="23"/>
          <w:color w:val="auto"/>
          <w:vertAlign w:val="subscript"/>
        </w:rPr>
        <w:t>reg</w:t>
      </w:r>
      <w:r>
        <w:rPr>
          <w:rFonts w:ascii="Times New Roman" w:cs="Times New Roman" w:eastAsia="Times New Roman" w:hAnsi="Times New Roman"/>
          <w:sz w:val="14"/>
          <w:szCs w:val="14"/>
          <w:color w:val="auto"/>
        </w:rPr>
        <w:t>”) cells, thereby activating and expanding T</w:t>
      </w:r>
      <w:r>
        <w:rPr>
          <w:rFonts w:ascii="Times New Roman" w:cs="Times New Roman" w:eastAsia="Times New Roman" w:hAnsi="Times New Roman"/>
          <w:sz w:val="23"/>
          <w:szCs w:val="23"/>
          <w:color w:val="auto"/>
          <w:vertAlign w:val="subscript"/>
        </w:rPr>
        <w:t>reg</w:t>
      </w:r>
      <w:r>
        <w:rPr>
          <w:rFonts w:ascii="Times New Roman" w:cs="Times New Roman" w:eastAsia="Times New Roman" w:hAnsi="Times New Roman"/>
          <w:sz w:val="14"/>
          <w:szCs w:val="14"/>
          <w:color w:val="auto"/>
        </w:rPr>
        <w:t xml:space="preserve"> cells that can suppress unwanted immune and inflammatory responses. Beijing Trimmune Biotech Co., Ltd. (“Trimmune”) has an option to license the rights to the China market for HCW9302. On November 17, 2025, the first patient was dosed at The Ohio State University Wexner Medical Center for the Company-sponsored, multi-center first-in-human clinical trial to evaluate HCW9302 in patients with alopecia areata (NCT07049328).</w:t>
      </w:r>
    </w:p>
    <w:p>
      <w:pPr>
        <w:spacing w:after="0" w:line="158" w:lineRule="exact"/>
        <w:rPr>
          <w:rFonts w:ascii="Times New Roman" w:cs="Times New Roman" w:eastAsia="Times New Roman" w:hAnsi="Times New Roman"/>
          <w:sz w:val="14"/>
          <w:szCs w:val="14"/>
          <w:color w:val="auto"/>
        </w:rPr>
      </w:pPr>
    </w:p>
    <w:p>
      <w:pPr>
        <w:jc w:val="both"/>
        <w:ind w:left="520" w:hanging="258"/>
        <w:spacing w:after="0" w:line="272"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HCW11-018b is a preclinical molecule that is a novel, tetra-valent T-Cell engager we call the Big BiTE, since it consists of a BiTE (common for all T-Cell Engagers) and an Enhancer (which makes the HCWB T-Cell Engager the “BIG BiTE”). HCW11-018b is designed to address key challenges for first generation T-Cell Engagers: manufacturability, preclinical safety profile, and ability to treat solid tumors.</w:t>
      </w:r>
    </w:p>
    <w:p>
      <w:pPr>
        <w:spacing w:after="0" w:line="136" w:lineRule="exact"/>
        <w:rPr>
          <w:rFonts w:ascii="Times New Roman" w:cs="Times New Roman" w:eastAsia="Times New Roman" w:hAnsi="Times New Roman"/>
          <w:sz w:val="14"/>
          <w:szCs w:val="14"/>
          <w:color w:val="auto"/>
        </w:rPr>
      </w:pPr>
    </w:p>
    <w:p>
      <w:pPr>
        <w:jc w:val="both"/>
        <w:ind w:left="520" w:hanging="258"/>
        <w:spacing w:after="0" w:line="266"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HCW11-040 is a preclinical molecule that is a unique combination of cytokines and pembrolizumab, a generic form of Keytruda®, in a multi-functional fusion molecule. (KEYTRUDA is a registered trademark of Merck, Sharp &amp; Dohme LLC, a subsidiary of Merck &amp; Co., Inc. and the company is not affiliated with HCW Biologics.) This lead product candidate exhibits the ability to expand Tpex cells without a cytokine storm in preclinical studies. In addition, it exhibits superior immune-cell activation, expansion, and cytotoxicity against cancer cells and tumors when compared to pembrolizumab in in-vitro and in-vivo studies.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Programs being Developed through Corporate Partnership</w:t>
      </w:r>
    </w:p>
    <w:p>
      <w:pPr>
        <w:spacing w:after="0" w:line="185" w:lineRule="exact"/>
        <w:rPr>
          <w:sz w:val="20"/>
          <w:szCs w:val="20"/>
          <w:color w:val="auto"/>
        </w:rPr>
      </w:pPr>
    </w:p>
    <w:p>
      <w:pPr>
        <w:jc w:val="both"/>
        <w:ind w:left="520" w:hanging="258"/>
        <w:spacing w:after="0" w:line="263"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HCW11-006 is a preclinical molecule that combines several different immune functional domains as part of a group of compounds characterized as multi-functional immune cell stimulators. This lead product candidate will be developed in partnership with Trimmune, the licensee responsible for the development and commercialization of HCW11-006. HCW11-006 will be developed by Trimmune, our licensee with exclusive worldwide rights for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applications of this compound. Trimmune intends to begin Phase 1 clinical trials in China in mid-2027. The Company has an Opt-In Right for the Americas market that we may choose to exercise, based on the results of the first Phase 1 studies in China. We will continue to monitor the results of IND-enabling studies and results of the clinical study before making a decision on whether to exercise our Opt-In Right.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Commercial-Ready Reagents for Production of Immunotherapeutic Treatments</w:t>
      </w:r>
    </w:p>
    <w:p>
      <w:pPr>
        <w:spacing w:after="0" w:line="185" w:lineRule="exact"/>
        <w:rPr>
          <w:sz w:val="20"/>
          <w:szCs w:val="20"/>
          <w:color w:val="auto"/>
        </w:rPr>
      </w:pPr>
    </w:p>
    <w:p>
      <w:pPr>
        <w:ind w:left="520" w:hanging="258"/>
        <w:spacing w:after="0" w:line="290"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HCW9206 is a proprietary fusion protein designed as a reagent to use in the production of CAR-therapies for the treatment of infectious diseases, including HIV, and cancer. HCW9206 is a novel class of immunotherapeutic that enables a single molecule to deliver synergistic signals from three different immune-stimulatory cytokines.</w:t>
      </w:r>
    </w:p>
    <w:p>
      <w:pPr>
        <w:spacing w:after="0" w:line="124" w:lineRule="exact"/>
        <w:rPr>
          <w:rFonts w:ascii="Times New Roman" w:cs="Times New Roman" w:eastAsia="Times New Roman" w:hAnsi="Times New Roman"/>
          <w:sz w:val="14"/>
          <w:szCs w:val="14"/>
          <w:color w:val="auto"/>
        </w:rPr>
      </w:pPr>
    </w:p>
    <w:p>
      <w:pPr>
        <w:jc w:val="both"/>
        <w:ind w:left="520" w:hanging="258"/>
        <w:spacing w:after="0" w:line="272"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HCW9201 is a proprietary fusion protein designed as a reagent to use in the production of Natural Killer (“NK”) cell-based therapies. It is a unique cytokine-induced memory-like phenotype that supports enhanced anti-tumor activity, robust trafficking, superior proliferation capacity, and metabolic flexibility, all of which contribute to treatment resilience in the adverse tumor microenvironment.</w:t>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HCWB has an experienced team led by Dr. Hing C. Wong, our Founder and CEO, who discovered and developed the immunotherapeutic Anktiva® (also known as ALT-803, an IL-15 agonist receptor) through pivotal trials. This blockbuster immunotherapeutic treatment for cancer was sold to ImmunityBio, Inc. in 2017 in a $1.0 billion acquisition. Anktiva® was approved by the U.S. Food and Drug Administration (“FDA”) for a bladder cancer indication in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Compliance with Nasdaq Listing Rules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26, 2026, the Company received a written notice from the Nasdaq Listing Qualifications Staff (the “Staff”) indicating that the Company was not in compliance with the minimum bid price requirement for continued listing set forth in Nasdaq Listing Rule 5810(c)(3)(A), which requires listed securities to maintain a minimum bid price of $1.00 per share. In accordance with Nasdaq rules, because the Company effected a reverse stock split in April 2025, the Company was not eligible for a 180-calendar day compliance period to regain compliance with the bid price requirement.</w:t>
      </w:r>
    </w:p>
    <w:p>
      <w:pPr>
        <w:spacing w:after="0" w:line="3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Company timely requested a hearing before a Nasdaq Hearings Panel (the “Panel”) to appeal this determination, which request stayed any delisting or suspension action pending the outcome of the hearing process. The hearing was held on May 5, 2026.</w:t>
      </w:r>
    </w:p>
    <w:p>
      <w:pPr>
        <w:spacing w:after="0" w:line="124"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On May 29, 2026, the Panel issued a decision granting the Company an exception to regain compliance with the Bid Price Rule, subject to certain conditions. As set forth in the decision, the Company must demonstrate compliance with the Bid Price Rule by maintaining a closing bid price of at least $1.00 per share for a minimum of 20 consecutive trading days on or before July 29, 2026. On June 3, 2026, the last quoted sale price for the Company’s Common Stock as reported on Nasdaq was $1.68 per share. The Company is prepared to effect a reverse stock split on or about June 30, 2026 if necessary to maintain compliance with the Bid Price Rule.</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addition, the Company is subject to certain ongoing requirements and monitoring by the Panel, including a discretionary panel monitor period through September 22, 2026, during which the Company must maintain compliance with Nasdaq continued listing requirements. Per the Panel’s decision letter, if the Company again becomes deficient with the Bid Price Rule prior to September 22, 2026, the Company will be immediately delisted.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Wugen License</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On May 21, 2026, the Company elected to exercise its option to terminate the exclusive worldwide license agreement with Wugen Inc. (the “Wugen License”) for </w:t>
      </w:r>
      <w:r>
        <w:rPr>
          <w:rFonts w:ascii="Times New Roman" w:cs="Times New Roman" w:eastAsia="Times New Roman" w:hAnsi="Times New Roman"/>
          <w:sz w:val="14"/>
          <w:szCs w:val="14"/>
          <w:i w:val="1"/>
          <w:iCs w:val="1"/>
          <w:color w:val="auto"/>
        </w:rPr>
        <w:t>ex vivo</w:t>
      </w:r>
      <w:r>
        <w:rPr>
          <w:rFonts w:ascii="Times New Roman" w:cs="Times New Roman" w:eastAsia="Times New Roman" w:hAnsi="Times New Roman"/>
          <w:sz w:val="14"/>
          <w:szCs w:val="14"/>
          <w:color w:val="auto"/>
        </w:rPr>
        <w:t xml:space="preserve"> rights to the Company’s molecules HCW9201 and HCW9206. The termination was made pursuant to Section 1(b) of the 12-month suspension letter agreement (“Suspension Letter Agreement”) the parties entered into on May 30, 2025. Pursuant to Section 1(b) of the Suspension Letter Agreement, the Company had the right to terminate the Wugen License during the 12-month suspension period if the Company entered into a letter of intent with a third party to license the </w:t>
      </w:r>
      <w:r>
        <w:rPr>
          <w:rFonts w:ascii="Times New Roman" w:cs="Times New Roman" w:eastAsia="Times New Roman" w:hAnsi="Times New Roman"/>
          <w:sz w:val="14"/>
          <w:szCs w:val="14"/>
          <w:i w:val="1"/>
          <w:iCs w:val="1"/>
          <w:color w:val="auto"/>
        </w:rPr>
        <w:t>ex vivo</w:t>
      </w:r>
      <w:r>
        <w:rPr>
          <w:rFonts w:ascii="Times New Roman" w:cs="Times New Roman" w:eastAsia="Times New Roman" w:hAnsi="Times New Roman"/>
          <w:sz w:val="14"/>
          <w:szCs w:val="14"/>
          <w:color w:val="auto"/>
        </w:rPr>
        <w:t xml:space="preserve"> rights for either HCW9201 and/or HCW9206 prior to the end of the suspension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From the time the Company effected its initial public offering, in July 2021, we have qualified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remain an emerging growth company until December 31, 2026 (the last day of the fiscal year following the fifth anniversary of the consummation of our initial public offering).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References herein to “emerging growth company” shall have the meaning associated with that term in the JOBS 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principal executive office is located at 2929 N Commerce Parkway, Miramar, FL 33025, and our telephone number is (954) 842-2024. Our website address is www.hcwbiologics.com.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or accessed through our website is not incorporated into and not part of this prospectus.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OFFERING SUMMARY</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prospectus relates to the resale, from time to time, by the selling stockholders identified herein of up to 5,693,950 shares of our Common Stock, which consist of shares of our Common Stock issued in connection with our private placement transaction consummated on May 22, 2026 (the “PIPE Transaction”) and shares of our Common Stock issuable upon exercise of the Pre-Funded Warrants and the May 2026 Common Warrants issued in the PIPE Transaction.</w:t>
      </w:r>
    </w:p>
    <w:p>
      <w:pPr>
        <w:sectPr>
          <w:pgSz w:w="11900" w:h="16838" w:orient="portrait"/>
          <w:cols w:equalWidth="0" w:num="1">
            <w:col w:w="11280"/>
          </w:cols>
          <w:pgMar w:left="300" w:top="550" w:right="31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Shares of Common Stock to be Issued by Us: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HCW Biologics Inc.</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Up to 5,266,904 shares of our Common Stock, consisting of (i) 2,419,929 shares issuable upon exercise of the Pre-Funded Warrants and (ii) 2,846,975 shares issuable upon exercise of the May 2026 Common Warrants. The 427,046 Shares have already been issued, are outstanding and are being registered for resale in this registration statement as well. No shares are being issued by the Company in connection with this registration statement.</w:t>
      </w:r>
    </w:p>
    <w:p>
      <w:pPr>
        <w:spacing w:after="0" w:line="137" w:lineRule="exact"/>
        <w:rPr>
          <w:sz w:val="20"/>
          <w:szCs w:val="20"/>
          <w:color w:val="auto"/>
        </w:rPr>
      </w:pPr>
    </w:p>
    <w:p>
      <w:pPr>
        <w:sectPr>
          <w:pgSz w:w="11900" w:h="16838" w:orient="portrait"/>
          <w:cols w:equalWidth="0" w:num="2">
            <w:col w:w="2920" w:space="720"/>
            <w:col w:w="7640"/>
          </w:cols>
          <w:pgMar w:left="300" w:top="550" w:right="319" w:bottom="1440" w:gutter="0" w:footer="0" w:header="0"/>
          <w:type w:val="continuous"/>
        </w:sectPr>
      </w:pPr>
    </w:p>
    <w:p>
      <w:pPr>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Shares of Common Stock outstanding as of the date of this prospectus</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4"/>
          <w:szCs w:val="14"/>
          <w:b w:val="1"/>
          <w:bCs w:val="1"/>
          <w:i w:val="1"/>
          <w:iCs w:val="1"/>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Resale of Common Stock:</w:t>
      </w:r>
    </w:p>
    <w:p>
      <w:pPr>
        <w:spacing w:after="0" w:line="181"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Shares of Common Stock Offered by the Selling Stockholders</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4"/>
          <w:szCs w:val="14"/>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of the Offering: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Times New Roman" w:cs="Times New Roman" w:eastAsia="Times New Roman" w:hAnsi="Times New Roman"/>
          <w:sz w:val="14"/>
          <w:szCs w:val="14"/>
          <w:color w:val="auto"/>
        </w:rPr>
        <w:t>7,161,150 shares of Common Stock (including the Shares issued in the PIPE Transaction and excluding shares issuable upon exercise of the Pre-Funded Warrants and May 2026 Common Warrants).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stockholders are offering up to an aggregate of 5,693,950 shares of our Common Stock, consisting of:</w:t>
      </w:r>
    </w:p>
    <w:p>
      <w:pPr>
        <w:spacing w:after="0" w:line="384" w:lineRule="exact"/>
        <w:rPr>
          <w:sz w:val="20"/>
          <w:szCs w:val="20"/>
          <w:color w:val="auto"/>
        </w:rPr>
      </w:pPr>
    </w:p>
    <w:p>
      <w:pPr>
        <w:ind w:left="900" w:hanging="451"/>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427,046 Shares;</w:t>
      </w:r>
    </w:p>
    <w:p>
      <w:pPr>
        <w:spacing w:after="0" w:line="181" w:lineRule="exact"/>
        <w:rPr>
          <w:rFonts w:ascii="Times New Roman" w:cs="Times New Roman" w:eastAsia="Times New Roman" w:hAnsi="Times New Roman"/>
          <w:sz w:val="14"/>
          <w:szCs w:val="14"/>
          <w:color w:val="auto"/>
        </w:rPr>
      </w:pPr>
    </w:p>
    <w:p>
      <w:pPr>
        <w:ind w:left="900" w:hanging="451"/>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2,419,929 shares of our Common Stock issuable upon exercise of the Pre-Funded Warrants; and</w:t>
      </w:r>
    </w:p>
    <w:p>
      <w:pPr>
        <w:spacing w:after="0" w:line="181" w:lineRule="exact"/>
        <w:rPr>
          <w:rFonts w:ascii="Times New Roman" w:cs="Times New Roman" w:eastAsia="Times New Roman" w:hAnsi="Times New Roman"/>
          <w:sz w:val="14"/>
          <w:szCs w:val="14"/>
          <w:color w:val="auto"/>
        </w:rPr>
      </w:pPr>
    </w:p>
    <w:p>
      <w:pPr>
        <w:ind w:left="900" w:hanging="451"/>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2,846,975 shares of our Common Stock issuable upon exercise of the May 2026 Common Warrants.</w:t>
      </w:r>
    </w:p>
    <w:p>
      <w:pPr>
        <w:spacing w:after="0" w:line="1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selling stockholders may sell the shares from time to time at prevailing market prices or at negotiated prices. See “Plan of Distribution.”</w:t>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will not receive any proceeds from any sale of shares of our Common Stock by the selling stockholders. However, we may receive gross proceeds of up to approximately $3.6 million from the cash exercise of the May 2026 Common Warrants (based on an exercise price of $1.28 per share), assuming full exercise of such warrants. We do not expect to receive material proceeds from the exercise of the Pre-Funded Warrants, which have a nominal exercise price. We intend to use any proceeds from the exercise of the May 2026 Common Warrants for general corporate purposes, which may include funding our clinical and preclinical development programs, research and development expenses, working capital and other general corporate purposes.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review carefully the risks and uncertainties described under the heading “Risk Factors” beginning on page 9 of this prospectus.</w:t>
      </w:r>
    </w:p>
    <w:p>
      <w:pPr>
        <w:spacing w:after="0" w:line="1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15875</wp:posOffset>
            </wp:positionV>
            <wp:extent cx="71608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2">
            <w:col w:w="3200" w:space="440"/>
            <w:col w:w="7640"/>
          </w:cols>
          <w:pgMar w:left="300" w:top="550" w:right="3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w:t>
      </w:r>
    </w:p>
    <w:p>
      <w:pPr>
        <w:spacing w:after="0" w:line="20" w:lineRule="exact"/>
        <w:rPr>
          <w:sz w:val="20"/>
          <w:szCs w:val="20"/>
          <w:color w:val="auto"/>
        </w:rPr>
      </w:pPr>
      <w:r>
        <w:rPr>
          <w:sz w:val="20"/>
          <w:szCs w:val="20"/>
          <w:color w:val="auto"/>
        </w:rPr>
        <w:br w:type="column"/>
      </w:r>
    </w:p>
    <w:p>
      <w:pPr>
        <w:jc w:val="center"/>
        <w:ind w:right="25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177" w:lineRule="exact"/>
        <w:rPr>
          <w:sz w:val="20"/>
          <w:szCs w:val="20"/>
          <w:color w:val="auto"/>
        </w:rPr>
      </w:pPr>
    </w:p>
    <w:p>
      <w:pPr>
        <w:sectPr>
          <w:pgSz w:w="11900" w:h="16838" w:orient="portrait"/>
          <w:cols w:equalWidth="0" w:num="2">
            <w:col w:w="2920" w:space="720"/>
            <w:col w:w="7640"/>
          </w:cols>
          <w:pgMar w:left="300" w:top="548"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Nasdaq Symbol:</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Times New Roman" w:cs="Times New Roman" w:eastAsia="Times New Roman" w:hAnsi="Times New Roman"/>
          <w:sz w:val="14"/>
          <w:szCs w:val="14"/>
          <w:color w:val="auto"/>
        </w:rPr>
        <w:t>Our Common Stock is listed on Nasdaq under the symbol “HCWB”. There is no established trading market for the Pre-Funded Warrants, and we do not expect a trading market to develop. We do not intend to list the Pre-Funded Warrants on any securities exchange or other trading market. Without a trading market, the liquidity of the Pre-Funded Warrants will be extremely limited.</w:t>
      </w:r>
    </w:p>
    <w:p>
      <w:pPr>
        <w:spacing w:after="0" w:line="137" w:lineRule="exact"/>
        <w:rPr>
          <w:sz w:val="20"/>
          <w:szCs w:val="20"/>
          <w:color w:val="auto"/>
        </w:rPr>
      </w:pPr>
    </w:p>
    <w:p>
      <w:pPr>
        <w:sectPr>
          <w:pgSz w:w="11900" w:h="16838" w:orient="portrait"/>
          <w:cols w:equalWidth="0" w:num="2">
            <w:col w:w="2920" w:space="720"/>
            <w:col w:w="7640"/>
          </w:cols>
          <w:pgMar w:left="300" w:top="548" w:right="319" w:bottom="1440" w:gutter="0" w:footer="0" w:header="0"/>
          <w:type w:val="continuous"/>
        </w:sectPr>
      </w:pPr>
    </w:p>
    <w:p>
      <w:pPr>
        <w:ind w:left="260" w:hanging="254"/>
        <w:spacing w:after="0" w:line="290"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outstanding is based on 7,161,150 shares outstanding as of June 3, 2026, including 427,046 shares issued in connection with the PIPE Transaction. The number excludes the following:</w:t>
      </w:r>
    </w:p>
    <w:p>
      <w:pPr>
        <w:spacing w:after="0" w:line="124"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Pre-Funded Warrants which may be exercised to purchase up to 2,419,929 shares of Common Stock for $0.0001 per share, issued in connection with the PIPE Transaction.</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2026 Common Warrants which may be exercised to purchase up to 2,846,975 shares of Common Stock for $1.28 per share, issued in connection with the PIPE Transaction.</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126,540 shares issuable upon the conversion of outstanding warrants exercisable at $26.00 per share;</w:t>
      </w:r>
    </w:p>
    <w:p>
      <w:pPr>
        <w:spacing w:after="0" w:line="181" w:lineRule="exact"/>
        <w:rPr>
          <w:rFonts w:ascii="Times New Roman" w:cs="Times New Roman" w:eastAsia="Times New Roman" w:hAnsi="Times New Roman"/>
          <w:sz w:val="14"/>
          <w:szCs w:val="14"/>
          <w:color w:val="auto"/>
        </w:rPr>
      </w:pPr>
    </w:p>
    <w:p>
      <w:pPr>
        <w:jc w:val="both"/>
        <w:ind w:left="780" w:hanging="261"/>
        <w:spacing w:after="0" w:line="272"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5,497,702 shares issuable upon the conversion of outstanding warrants for $0.6055 per share, including warrants to exercise up to 2,477,292 shares of Common Stock issued on February 19, 2026 and warrants to exercise up to 3,020,410 shares of Common Stock issued on November 20, 2025 and repriced on February 19, 2026, which are both subject to stockholder approval;</w:t>
      </w:r>
    </w:p>
    <w:p>
      <w:pPr>
        <w:spacing w:after="0" w:line="136" w:lineRule="exact"/>
        <w:rPr>
          <w:rFonts w:ascii="Times New Roman" w:cs="Times New Roman" w:eastAsia="Times New Roman" w:hAnsi="Times New Roman"/>
          <w:sz w:val="14"/>
          <w:szCs w:val="14"/>
          <w:color w:val="auto"/>
        </w:rPr>
      </w:pPr>
    </w:p>
    <w:p>
      <w:pPr>
        <w:ind w:left="780" w:hanging="261"/>
        <w:spacing w:after="0" w:line="290" w:lineRule="auto"/>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42,955 shares issuable upon the exercise stock options of vested employee equity awards under the 2019 Equity Incentive Plan (“2019 Plan”) and the 2021 Equity Incentive Plan (“2021 Plan”);</w:t>
      </w:r>
    </w:p>
    <w:p>
      <w:pPr>
        <w:spacing w:after="0" w:line="124"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1,173 shares for stock options underlying unvested employee equity awards under the 2019 Plan and 2021 Plan;</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93,299 shares reserved for issuance under our 2021 Plan; and</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valued up to $17.0 million, which may be issued through draws on our equity line of credit.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 forward-looking statements.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This includes, without limitation, statements regarding the financial position and the plans and objectives of management for our future operations.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in this prospectus and in any document incorporated by reference in this prospectus, including our Annual Report for the year ended December 31, 2025, filed on Form 10-K on March 31, 2026 (the “Annual Report”) and our Quarterly Report for the three month period ended March 31, 2026, filed on Form 10-Q on May 14, 2026, may include, for example, statements about:</w:t>
      </w:r>
    </w:p>
    <w:p>
      <w:pPr>
        <w:spacing w:after="0" w:line="144" w:lineRule="exact"/>
        <w:rPr>
          <w:sz w:val="20"/>
          <w:szCs w:val="20"/>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going concern assessment;</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event, change or other circumstances, including the outcome of any legal proceedings that may be instituted against us;</w:t>
      </w:r>
    </w:p>
    <w:p>
      <w:pPr>
        <w:spacing w:after="0" w:line="181" w:lineRule="exact"/>
        <w:rPr>
          <w:rFonts w:ascii="Times New Roman" w:cs="Times New Roman" w:eastAsia="Times New Roman" w:hAnsi="Times New Roman"/>
          <w:sz w:val="14"/>
          <w:szCs w:val="14"/>
          <w:color w:val="auto"/>
        </w:rPr>
      </w:pPr>
    </w:p>
    <w:p>
      <w:pPr>
        <w:ind w:left="780" w:hanging="261"/>
        <w:spacing w:after="0" w:line="290" w:lineRule="auto"/>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performance and the ability to remain compliant with the continued listing requirements of Nasdaq, maintain the listing of our securities on Nasdaq, and the potential liquidity and trading of our securities;</w:t>
      </w:r>
    </w:p>
    <w:p>
      <w:pPr>
        <w:spacing w:after="0" w:line="124" w:lineRule="exact"/>
        <w:rPr>
          <w:rFonts w:ascii="Times New Roman" w:cs="Times New Roman" w:eastAsia="Times New Roman" w:hAnsi="Times New Roman"/>
          <w:sz w:val="14"/>
          <w:szCs w:val="14"/>
          <w:color w:val="auto"/>
        </w:rPr>
      </w:pPr>
    </w:p>
    <w:p>
      <w:pPr>
        <w:ind w:left="780" w:hanging="261"/>
        <w:spacing w:after="0" w:line="290" w:lineRule="auto"/>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to fund our future operating expenses and capital expenditure requirements and the risk of disruption to our current plans and operations;</w:t>
      </w:r>
    </w:p>
    <w:p>
      <w:pPr>
        <w:spacing w:after="0" w:line="124"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including funding necessary to develop and commercialize our drug candidates;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costs and outcome of regulatory review, and impact on our ability to receive FDA clearance for clinical trials;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secure clinical sites, enroll patients, and initiate clinical trials;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trials needed to obtain clinical approval;</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clinical trials to demonstrate safety and efficacy of our drug candidates, and other positive results;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cost and timing of our development activities, preclinical studies and clinical trials;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focus of our future clinical trials, and the reporting of data from those trials;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our drug candidates, if approved;</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establish sales, marketing and distribution infrastructure to commercialize any drug candidates for which we obtain approval;</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and clinical personnel;</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0" w:name="page11"/>
    <w:bookmarkEnd w:id="10"/>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clinical trials of our drug candidates, and for the manufacture of our drug candidates for preclinical studies and clinical trials;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our own manufacturing facilities domestically;</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drug candidates into additional indications and patient populations;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and efficacy of our drug candidates;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regulatory developments in the United States and other jurisdictions;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drug candidates, and any related restrictions, limitations and/or warnings in the label of any approved drug candidate;</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the further development and manufacturing of our drug candidates, including additional indications for which we may pursue;</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maintaining, expanding, and enforcing our intellectual property rights;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intellectual property rights;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drug candidates and technology;</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claims relating to our intellectual property;</w:t>
      </w:r>
    </w:p>
    <w:p>
      <w:pPr>
        <w:spacing w:after="0" w:line="181" w:lineRule="exact"/>
        <w:rPr>
          <w:rFonts w:ascii="Times New Roman" w:cs="Times New Roman" w:eastAsia="Times New Roman" w:hAnsi="Times New Roman"/>
          <w:sz w:val="14"/>
          <w:szCs w:val="14"/>
          <w:color w:val="auto"/>
        </w:rPr>
      </w:pPr>
    </w:p>
    <w:p>
      <w:pPr>
        <w:ind w:left="780" w:hanging="261"/>
        <w:spacing w:after="0" w:line="290" w:lineRule="auto"/>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litigation, regulatory inquiries, or investigations, as well as cost to indemnify our officers and directors against third-party claims related to our patents and other intellectual property;</w:t>
      </w:r>
    </w:p>
    <w:p>
      <w:pPr>
        <w:spacing w:after="0" w:line="124" w:lineRule="exact"/>
        <w:rPr>
          <w:rFonts w:ascii="Times New Roman" w:cs="Times New Roman" w:eastAsia="Times New Roman" w:hAnsi="Times New Roman"/>
          <w:sz w:val="14"/>
          <w:szCs w:val="14"/>
          <w:color w:val="auto"/>
        </w:rPr>
      </w:pPr>
    </w:p>
    <w:p>
      <w:pPr>
        <w:ind w:left="780" w:hanging="261"/>
        <w:spacing w:after="0" w:line="290" w:lineRule="auto"/>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and timing of buildout of our new headquarters, including a biologics manufacturing facility, including risks of balances due to general contractor and subcontractors, cost overruns and delays, and ability to obtain additional funding required to complete the project;</w:t>
      </w:r>
    </w:p>
    <w:p>
      <w:pPr>
        <w:spacing w:after="0" w:line="124"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out-license agreements for the development and commercialization of the Company’s non-core assets;</w:t>
      </w:r>
    </w:p>
    <w:p>
      <w:pPr>
        <w:spacing w:after="0" w:line="181" w:lineRule="exact"/>
        <w:rPr>
          <w:rFonts w:ascii="Times New Roman" w:cs="Times New Roman" w:eastAsia="Times New Roman" w:hAnsi="Times New Roman"/>
          <w:sz w:val="14"/>
          <w:szCs w:val="14"/>
          <w:color w:val="auto"/>
        </w:rPr>
      </w:pPr>
    </w:p>
    <w:p>
      <w:pPr>
        <w:ind w:left="780" w:hanging="261"/>
        <w:spacing w:after="0" w:line="290" w:lineRule="auto"/>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and timing of future commercialization activities, including product manufacturing, marketing, sales and distribution, for any of our product candidates for which we receive regulatory approval; and</w:t>
      </w:r>
    </w:p>
    <w:p>
      <w:pPr>
        <w:spacing w:after="0" w:line="124"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under the section entitled “Risk Factors” in this prospectus.</w:t>
      </w:r>
    </w:p>
    <w:p>
      <w:pPr>
        <w:spacing w:after="0" w:line="1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including those described in the section titled “Risk Factors” and elsewhere in this prospectus and the documents incorporated by reference into this prospectus.</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Although we believe that the expectations reflected in the forward-looking statements are reasonable, we cannot guarantee that the future results, levels of activity, performance or events and circumstances reflected in the forward-looking statements will be achieved or occur. Accordingly, you should not place undue reliance on forward-looking statements as predictions of future events. We undertake no obligation to update publicly any forward-looking statements for any reason after the date of this prospectus to conform these statements to actual results or to changes in our expectations, except as required by law.</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You should read this prospectus, the documents incorporated by reference into this prospectus, any free writing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Before making an investment decision with respect to our securities, we urge you to carefully consider the risks described below and in the “Risk Factors” sections of our most recent Annual Report on Form 10-K for the fiscal year ended December 31, 2025, which is incorporated by reference in this prospectus, together with the information included in this prospectus and documents incorporated by reference herein, and in any free writing prospectus that we have authorized for use in connection with this offering. The risks and uncertainties incorporated by reference into this prospectus or described below are not the only ones we face. Additional risks and uncertainties not presently known or which we consider immaterial as of the date hereof may also materially harm our business and could result in a complete loss of your investment. If any of the matters discussed in the following risk factors were to occur, our business, financial condition, results of operations, cash flows, or prospects could be materially and adversely affected, the market price of our common stock could decline, as well as the value of the pre-funded warrants, and you could lose all or part of your investment in our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 or may decline regardless of our operating performance, resulting in substantial losses for investors.</w:t>
      </w:r>
    </w:p>
    <w:p>
      <w:pPr>
        <w:spacing w:after="0" w:line="185"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The market price of our Common Stock may be highly volatile and may fluctuate substantially as a result of a variety of factors, some of which are related in complex ways. The market price of our Common Stock may fluctuate significantly in response to numerous factors, many of which are beyond our control, including the factors described in this “Risk Factors” section and elsewhere in this Annual Report.</w:t>
      </w:r>
    </w:p>
    <w:p>
      <w:pPr>
        <w:spacing w:after="0" w:line="137" w:lineRule="exact"/>
        <w:rPr>
          <w:sz w:val="20"/>
          <w:szCs w:val="20"/>
          <w:color w:val="auto"/>
        </w:rPr>
      </w:pPr>
    </w:p>
    <w:p>
      <w:pPr>
        <w:jc w:val="both"/>
        <w:ind w:firstLine="513"/>
        <w:spacing w:after="0" w:line="263" w:lineRule="auto"/>
        <w:rPr>
          <w:sz w:val="20"/>
          <w:szCs w:val="20"/>
          <w:color w:val="auto"/>
        </w:rPr>
      </w:pPr>
      <w:r>
        <w:rPr>
          <w:rFonts w:ascii="Times New Roman" w:cs="Times New Roman" w:eastAsia="Times New Roman" w:hAnsi="Times New Roman"/>
          <w:sz w:val="14"/>
          <w:szCs w:val="14"/>
          <w:color w:val="auto"/>
        </w:rPr>
        <w:t>On June 26, 2025, we received formal notice from Nasdaq that we were in compliance with the Equity Rule for continued listing of our securities on the Nasdaq Capital Market tier. We were also notified that we will remain subject to a “Panel Monitor,” as that term is defined in Nasdaq Listing Rule 5815(d)(4)(B), for a period of one year from the date of the Nasdaq notice, through June 23, 2026. If, during the term of the Panel Monitor, we do not continue to remain in compliance with the Equity Rule, we will not be provided with the opportunity to submit a compliance plan for review by the Staff and must instead request a hearing before Nasdaq to address the deficiency, with such request staying any further action with respect to the listing of our securities on Nasdaq pending completion of the hearing process.</w:t>
      </w:r>
    </w:p>
    <w:p>
      <w:pPr>
        <w:spacing w:after="0" w:line="144"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On August 19, 2025, we received written notice from the Staff that as of June 30, 2025, we were non-compliant with the Equity Rule, so our securities would be suspended from trading on Nasdaq on August 28, 2025 unless we request a hearing by August 26, 2025. On August 26, 2025, we timely requested a hearing before the Panel, which stayed the suspension of trading of our securities on Nasdaq pending completion of the hearing process, which included a hearing held before the Panel on September 25, 2025 at which the Company presented a detailed compliance plan, including the filing of the registration statement that includes this prospectus and the offering contemplated herein.</w:t>
      </w:r>
    </w:p>
    <w:p>
      <w:pPr>
        <w:spacing w:after="0" w:line="141" w:lineRule="exact"/>
        <w:rPr>
          <w:sz w:val="20"/>
          <w:szCs w:val="20"/>
          <w:color w:val="auto"/>
        </w:rPr>
      </w:pPr>
    </w:p>
    <w:p>
      <w:pPr>
        <w:jc w:val="both"/>
        <w:ind w:firstLine="513"/>
        <w:spacing w:after="0" w:line="263" w:lineRule="auto"/>
        <w:rPr>
          <w:sz w:val="20"/>
          <w:szCs w:val="20"/>
          <w:color w:val="auto"/>
        </w:rPr>
      </w:pPr>
      <w:r>
        <w:rPr>
          <w:rFonts w:ascii="Times New Roman" w:cs="Times New Roman" w:eastAsia="Times New Roman" w:hAnsi="Times New Roman"/>
          <w:sz w:val="14"/>
          <w:szCs w:val="14"/>
          <w:color w:val="auto"/>
        </w:rPr>
        <w:t>On October 13, 2025, the Panel granted the Company an extension of time in which to regain compliance with all continued listing rules of the Exchange. The Panel’s determination followed the Company’s hearing on September 25, 2025, at which the Company presented, and the Panel considered, the Company’s plan to regain compliance with the Equity Rule. The Panel granted the Company’s request for continued listing on the Nasdaq, subject to, among other things, the Company demonstrating compliance with the Equity Rule by December 31, 2025, and with all other Nasdaq continued listing rules by February 16, 2026. The Company was advised that February 16, 2026, represents the full extent of the Panel’s discretion to grant continued listing while the Company is non-compliant with the Nasdaq Listing Rules.</w:t>
      </w:r>
    </w:p>
    <w:p>
      <w:pPr>
        <w:spacing w:after="0" w:line="144" w:lineRule="exact"/>
        <w:rPr>
          <w:sz w:val="20"/>
          <w:szCs w:val="20"/>
          <w:color w:val="auto"/>
        </w:rPr>
      </w:pPr>
    </w:p>
    <w:p>
      <w:pPr>
        <w:jc w:val="both"/>
        <w:ind w:firstLine="513"/>
        <w:spacing w:after="0" w:line="265" w:lineRule="auto"/>
        <w:rPr>
          <w:sz w:val="20"/>
          <w:szCs w:val="20"/>
          <w:color w:val="auto"/>
        </w:rPr>
      </w:pPr>
      <w:r>
        <w:rPr>
          <w:rFonts w:ascii="Times New Roman" w:cs="Times New Roman" w:eastAsia="Times New Roman" w:hAnsi="Times New Roman"/>
          <w:sz w:val="14"/>
          <w:szCs w:val="14"/>
          <w:color w:val="auto"/>
        </w:rPr>
        <w:t>The Panel also required that the Company provide prompt notification of any significant events that occur during the exception period that may affect the Company’s compliance with Nasdaq requirements. In addition, the Company was required to timely file Form 10-Q for the third quarter (which it did), and to provide notice of the status of certain elements of the Company’s compliance plan. Any compliance documentation submitted by the Company will be subject to review by the Panel, which may, in its discretion, request additional information before determining that the Company has complied with the terms of the exception. The Panel has discretion to review its decision to grant an exception period within 45 calendar days after issuance of the written decision.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2" w:name="page13"/>
    <w:bookmarkEnd w:id="12"/>
    <w:p>
      <w:pPr>
        <w:jc w:val="both"/>
        <w:ind w:firstLine="513"/>
        <w:spacing w:after="0" w:line="262" w:lineRule="auto"/>
        <w:rPr>
          <w:sz w:val="20"/>
          <w:szCs w:val="20"/>
          <w:color w:val="auto"/>
        </w:rPr>
      </w:pPr>
      <w:r>
        <w:rPr>
          <w:rFonts w:ascii="Times New Roman" w:cs="Times New Roman" w:eastAsia="Times New Roman" w:hAnsi="Times New Roman"/>
          <w:sz w:val="14"/>
          <w:szCs w:val="14"/>
          <w:color w:val="auto"/>
        </w:rPr>
        <w:t>On January 7, 2026, the Company received written notice from the Staff that as of December 31, 2025, the Company was compliant with the Equity Rule. The Company remains subject to the Panel’s decision letter to maintain compliance with all listing rules for continued listing through February 16, 2026. On February 26, 2026, the Nasdaq Hearings Panel found that the Company regained compliance with all continued listing rules of The Nasdaq Capital Market. Pursuant to Listing Rule 5815(d)(4)(B), the Company will be subject to a Mandatory Panel Monitor per the January 7, 2026 letter. Pursuant to Listing Rule 5815(d)(4)(B), the Company will be subject to a Mandatory Panel Monitor for a period of one year from the date of this letter. If, within that one-year monitoring period, Staff finds the Company again out of compliance with the Equity Rule that was the subject of the exception, notwithstanding Rule 5810(c)(2), the Staff will issue a Delist Determination Letter and the Company will have an opportunity to request a new hearing with the initial Panel or a newly convened Hearings Panel if the initial Panel is unavailable.</w:t>
      </w:r>
    </w:p>
    <w:p>
      <w:pPr>
        <w:spacing w:after="0" w:line="143" w:lineRule="exact"/>
        <w:rPr>
          <w:sz w:val="20"/>
          <w:szCs w:val="20"/>
          <w:color w:val="auto"/>
        </w:rPr>
      </w:pPr>
    </w:p>
    <w:p>
      <w:pPr>
        <w:jc w:val="both"/>
        <w:ind w:firstLine="513"/>
        <w:spacing w:after="0" w:line="260" w:lineRule="auto"/>
        <w:rPr>
          <w:sz w:val="20"/>
          <w:szCs w:val="20"/>
          <w:color w:val="auto"/>
        </w:rPr>
      </w:pPr>
      <w:r>
        <w:rPr>
          <w:rFonts w:ascii="Times New Roman" w:cs="Times New Roman" w:eastAsia="Times New Roman" w:hAnsi="Times New Roman"/>
          <w:sz w:val="14"/>
          <w:szCs w:val="14"/>
          <w:color w:val="auto"/>
        </w:rPr>
        <w:t>On March 26, 2026, the Company received a written notice from the Staff indicating that the Company was not in compliance with the minimum bid price requirement for continued listing set forth in Nasdaq Listing Rule 5550(a)(2) (the “Bid Price Rule”), as the Company’s common stock had not maintained a minimum closing bid price of $1.00 per share for 30 consecutive business days. Due to the fact that the Company effected a reverse stock split in April 2025, the Company was not afforded a 180-calendar day period to demonstrate compliance. The Company timely requested a hearing before a Nasdaq Hearings Panel (the “Panel”), which was held on May 5, 2026. On May 29, 2026, the Panel issued a decision granting the Company an exception to regain compliance with the Bid Price Rule, subject to certain conditions, including that the Company must demonstrate compliance with the Bid Price Rule by maintaining a closing bid price of at least $1.00 per share for a minimum of 20 consecutive trading days on or before July 29, 2026. On June 3, 2026, the last quoted sale price for the Company’s Common Stock as reported on Nasdaq was $1.68 per share. The Company is prepared to effect a reverse stock split on or about June 30, 2026 if necessary to maintain compliance with the Bid Price Rule.</w:t>
      </w:r>
    </w:p>
    <w:p>
      <w:pPr>
        <w:spacing w:after="0" w:line="147" w:lineRule="exact"/>
        <w:rPr>
          <w:sz w:val="20"/>
          <w:szCs w:val="20"/>
          <w:color w:val="auto"/>
        </w:rPr>
      </w:pPr>
    </w:p>
    <w:p>
      <w:pPr>
        <w:jc w:val="both"/>
        <w:ind w:firstLine="513"/>
        <w:spacing w:after="0" w:line="290" w:lineRule="auto"/>
        <w:rPr>
          <w:sz w:val="20"/>
          <w:szCs w:val="20"/>
          <w:color w:val="auto"/>
        </w:rPr>
      </w:pPr>
      <w:r>
        <w:rPr>
          <w:rFonts w:ascii="Times New Roman" w:cs="Times New Roman" w:eastAsia="Times New Roman" w:hAnsi="Times New Roman"/>
          <w:sz w:val="14"/>
          <w:szCs w:val="14"/>
          <w:color w:val="auto"/>
        </w:rPr>
        <w:t>In addition, the Company is subject to a discretionary panel monitor period through September 22, 2026, during which it must maintain compliance with Nasdaq continued listing requirements. Per the Panel’s decision letter, if the Company again becomes deficient with the Bid Price Rule prior to September 22, 2026, the Company will be immediately delisted.</w:t>
      </w:r>
    </w:p>
    <w:p>
      <w:pPr>
        <w:spacing w:after="0" w:line="124"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The stock market in general, and Nasdaq, and biopharmaceutical companies in particular, have experienced extreme price and volume fluctuations that have often been unrelated or disproportionate to the operating performance of these companies. Additionally, the trading prices for pharmaceutical, biopharmaceutical and biotechnology companies have been highly volatile. Also, broad market and industry factors may negatively affect the market price of our Common Stock, regardless of our actual operating performance.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for you to evaluate the success of our business to date and to assess our future viability.</w:t>
      </w:r>
    </w:p>
    <w:p>
      <w:pPr>
        <w:spacing w:after="0" w:line="185" w:lineRule="exact"/>
        <w:rPr>
          <w:sz w:val="20"/>
          <w:szCs w:val="20"/>
          <w:color w:val="auto"/>
        </w:rPr>
      </w:pPr>
    </w:p>
    <w:p>
      <w:pPr>
        <w:jc w:val="both"/>
        <w:ind w:firstLine="513"/>
        <w:spacing w:after="0" w:line="262" w:lineRule="auto"/>
        <w:rPr>
          <w:sz w:val="20"/>
          <w:szCs w:val="20"/>
          <w:color w:val="auto"/>
        </w:rPr>
      </w:pPr>
      <w:r>
        <w:rPr>
          <w:rFonts w:ascii="Times New Roman" w:cs="Times New Roman" w:eastAsia="Times New Roman" w:hAnsi="Times New Roman"/>
          <w:sz w:val="14"/>
          <w:szCs w:val="14"/>
          <w:color w:val="auto"/>
        </w:rPr>
        <w:t>Since our inception in 2018, we have devoted a significant portion of our resources to identifying and developing our product candidates emerging from our internally-developed immunotherapy platform technology, our other research and development efforts, building our intellectual property portfolio, raising capital, and providing general and administrative support for these operations. We have not yet demonstrated our ability to successfully complete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3" w:name="page14"/>
    <w:bookmarkEnd w:id="13"/>
    <w:p>
      <w:pPr>
        <w:jc w:val="both"/>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We cannot assure you that the measures we have taken to date to strengthen internal controls over financial reporting, or any measures we may take in the future, will be sufficient to avoid potential future material weaknesses.</w:t>
      </w:r>
    </w:p>
    <w:p>
      <w:pPr>
        <w:spacing w:after="0" w:line="120"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As of December 31, 2025, management identified a material weakness related to management’s assessment of long-lived assets for impairment. As a result the Company was at risk of a material misstatement in its financial statements by failing to recognize an impairment of $1.5 million for an impairment of the Company’s building, which could have resulted in overstating the value of long-lived assets by $1.5 million.</w:t>
      </w:r>
    </w:p>
    <w:p>
      <w:pPr>
        <w:spacing w:after="0" w:line="137" w:lineRule="exact"/>
        <w:rPr>
          <w:sz w:val="20"/>
          <w:szCs w:val="20"/>
          <w:color w:val="auto"/>
        </w:rPr>
      </w:pPr>
    </w:p>
    <w:p>
      <w:pPr>
        <w:jc w:val="both"/>
        <w:ind w:firstLine="513"/>
        <w:spacing w:after="0" w:line="262" w:lineRule="auto"/>
        <w:rPr>
          <w:sz w:val="20"/>
          <w:szCs w:val="20"/>
          <w:color w:val="auto"/>
        </w:rPr>
      </w:pPr>
      <w:r>
        <w:rPr>
          <w:rFonts w:ascii="Times New Roman" w:cs="Times New Roman" w:eastAsia="Times New Roman" w:hAnsi="Times New Roman"/>
          <w:sz w:val="14"/>
          <w:szCs w:val="14"/>
          <w:color w:val="auto"/>
        </w:rPr>
        <w:t>As of March 31, 2026, management identified a material weakness in the Company’s internal control over financial reporting related to a lack of precision of review to identify the improper application of the accounting guidance for warrant modifications under ASC 815-40 for the modification of warrants issued in November 2025 (the “Existing Warrants”). In connection with a financing completed on February 17, 2026, the Company agreed, subject to stockholder approval, to reprice the Existing Warrants from an exercise price of $2.41 per share to $0.6055 per share. The Company originally concluded the modification did not result in a change in the instrument’s classification. As a result of the material weakness, the Company determined that the Existing Warrants should have been reclassified from equity to a liability and accordingly recognized a warrant liability of approximately $1.6 million on February 17, 2026. The warrant liability is required to be remeasured at fair value at each subsequent reporting date, with changes in fair value recognized in earnings.</w:t>
      </w:r>
    </w:p>
    <w:p>
      <w:pPr>
        <w:spacing w:after="0" w:line="143" w:lineRule="exact"/>
        <w:rPr>
          <w:sz w:val="20"/>
          <w:szCs w:val="20"/>
          <w:color w:val="auto"/>
        </w:rPr>
      </w:pPr>
    </w:p>
    <w:p>
      <w:pPr>
        <w:jc w:val="both"/>
        <w:ind w:firstLine="513"/>
        <w:spacing w:after="0" w:line="262" w:lineRule="auto"/>
        <w:rPr>
          <w:sz w:val="20"/>
          <w:szCs w:val="20"/>
          <w:color w:val="auto"/>
        </w:rPr>
      </w:pPr>
      <w:r>
        <w:rPr>
          <w:rFonts w:ascii="Times New Roman" w:cs="Times New Roman" w:eastAsia="Times New Roman" w:hAnsi="Times New Roman"/>
          <w:sz w:val="14"/>
          <w:szCs w:val="14"/>
          <w:color w:val="auto"/>
        </w:rPr>
        <w:t>Material weaknesses in the Company’s internal controls over financial reporting were identified in previous reporting periods not presented in the Annual Report. Upon detecting material weaknesses, the Board of Directors and management implemented a remediation plan to strengthen internal controls, resulting in remediation of previously identified material weaknesses. As we continue to evaluate and work to improve our internal control over financial reporting, we may take additional measures to address control deficiencies or determine to modify remediation measures. We cannot assure you that the measures we have taken to date, and may take in the future, will be sufficient to remediate the control deficiencies that led to the material weakness in internal control over financial reporting or that we will prevent or avoid potential future material weaknesses. Effective internal controls are necessary for us to provide reliable financial reports. These remediation measures may be time consuming and costly and there is no assurance that these initiatives will ultimately have the intended effects.</w:t>
      </w:r>
    </w:p>
    <w:p>
      <w:pPr>
        <w:spacing w:after="0" w:line="1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Issuances of our Common Stock to the selling stockholders has caused and will continue to cause substantial dilution to our existing stockholders and could cause the price of our Common Stock to decline.</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registering for resale (i) 427,046 shares of our Common Stock issued in connection with our private placement transaction consummated on May 21, 2026 (the “PIPE Transaction”),</w:t>
      </w:r>
    </w:p>
    <w:p>
      <w:pPr>
        <w:spacing w:after="0" w:line="24" w:lineRule="exact"/>
        <w:rPr>
          <w:sz w:val="20"/>
          <w:szCs w:val="20"/>
          <w:color w:val="auto"/>
        </w:rPr>
      </w:pPr>
    </w:p>
    <w:p>
      <w:pPr>
        <w:ind w:firstLine="6"/>
        <w:spacing w:after="0" w:line="269" w:lineRule="auto"/>
        <w:tabs>
          <w:tab w:leader="none" w:pos="21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2,419,929 shares of our Common Stock issuable upon exercise of pre-funded warrants issued in the PIPE Transaction (the “Pre-Funded Warrants”), and (iii) up to 2,846,975 shares of our Common Stock issuable upon exercise of common stock purchase warrants issued in the PIPE Transaction (the “May 2026 Common Warrants”).</w:t>
      </w:r>
    </w:p>
    <w:p>
      <w:pPr>
        <w:spacing w:after="0" w:line="138"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The shares issuable upon exercise of the Pre-Funded Warrants and the May 2026 Common Warrants may be sold into the public market at any time after the date of this prospectus. The number of shares ultimately sold by the selling stockholders under this prospectus is dependent upon the number of shares the selling stockholders elect to sell and the market conditions during the resale period. Depending on a variety of factors, including market liquidity of our Common Stock, the resale of a substantial number of shares of our Common Stock issued in the PIPE Transaction or issuable upon exercise of the Pre-Funded Warrants and the May 2026 Common Warrants may cause the trading price of our Common Stock to decline.</w:t>
      </w:r>
    </w:p>
    <w:p>
      <w:pPr>
        <w:spacing w:after="0" w:line="141"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We may ultimately issue all, some, or none of the shares of Common Stock underlying the Pre-Funded Warrants and the May 2026 Common Warrants. The selling stockholders may sell all, some, or none of the shares of our Common Stock covered by this prospectus. Any issuance of shares upon exercise of the Pre-Funded Warrants or the May 2026 Common Warrants will result in dilution to the interests of our existing stockholders. The sale of a substantial number of shares of our Common Stock by the selling stockholders in this offering, or anticipation of such sales, could cause the trading price of our Common Stock to decline or make it more difficult for us to raise additional capital in the future at a time and at a price that we might otherwise desire.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The sale of a substantial number of shares of our Common Stock in the public market could adversely affect the prevailing market price of our shares.</w:t>
      </w:r>
    </w:p>
    <w:p>
      <w:pPr>
        <w:spacing w:after="0" w:line="185"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We are registering for resale an aggregate of 5,693,950 shares of our Common Stock, consisting of 427,046 shares issued in the PIPE Transaction and up to 5,266,904 shares issuable upon exercise of the Pre-Funded Warrants and the May 2026 Common Warrants. Sales of a substantial number of our shares in the public market, or the perception that such sales might occur, could adversely affect the market price of our shares. We cannot predict if and when the selling stockholders may sell such shares in the public markets. Furthermore, in the future, we may issue additional shares or other equity or debt securities convertible into shares. Any such issuance could result in substantial dilution to our existing stockholders and could cause our share price to decline.</w:t>
      </w:r>
    </w:p>
    <w:p>
      <w:pPr>
        <w:spacing w:after="0" w:line="141"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Exercises of the Pre-Funded Warrants or the May 2026 Common Warrants may occur at times when our stock price is declining or volatile, which could further negatively impact the market price of our Common Stock. It is not possible to predict the actual number of shares that will be issued upon exercise of the Pre-Funded Warrants or the May 2026 Common Warrants or the timing of such issuances, and investors who purchase shares from the selling stockholders at different times may pay different prices.</w:t>
      </w:r>
    </w:p>
    <w:p>
      <w:pPr>
        <w:spacing w:after="0" w:line="137"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Although the May 2026 Common Warrants have a fixed exercise price, the selling stockholders may exercise such warrants at any time prior to their expiration. If exercises occur when the market price of our Common Stock is below or near the exercise price, sales of the resulting shares by the selling stockholders could place downward pressure on our stock price. The Pre-Funded Warrants have a nominal exercise price and are exercisable at any time, which may result in immediate or near-term issuances of shares and additional downward pressure on our stock price.</w:t>
      </w:r>
    </w:p>
    <w:p>
      <w:pPr>
        <w:spacing w:after="0" w:line="137"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The timing and number of shares issued upon exercise of the Pre-Funded Warrants and the May 2026 Common Warrants will depend on when and to what extent the selling stockholders elect to exercise such warrants. Because exercises may occur at any time during the term of the Pre-Funded Warrants and the May 2026 Common Warrants, it is not currently possible to predict the number of shares that will be issued or the gross proceeds, if any, that we may receive.</w:t>
      </w:r>
    </w:p>
    <w:p>
      <w:pPr>
        <w:spacing w:after="0" w:line="137"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Further, because the selling stockholders may resell shares underlying the Pre-Funded Warrants and the May 2026 Common Warrants at varying prices and at different times, investors who purchase those shares may experience different levels of dilution and different investment outcomes. In addition, the expected or actual resale of a substantial number of shares by the selling stockholders may make it more difficult for us to raise additional capital in the future at a time and at a price we might otherwise desire.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securities may experience extreme price and volume fluctuations, which could lead to costly litigation for us and make an investment in us less appealing.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common stock may fluctuate substantially due to a variety of factors, including:</w:t>
      </w:r>
    </w:p>
    <w:p>
      <w:pPr>
        <w:spacing w:after="0" w:line="181"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status and results of our clinical trials for our product candidates;</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complete our clinical trials and, if such trials provide data supporting an FDA submission, our ability to apply for and obtain clearance from the FDA;</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a going concern;</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Nasdaq listing;</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strategy and plans;</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market for our product candidates, if approved for sale in the U.S.;</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regulatory pronouncements and changes in regulatory guidelines and timing of regulatory approvals;</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industry-specific economic conditions;</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financial and operating results, including the rate at which we incur negative cash flow in future periods;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5" w:name="page16"/>
    <w:bookmarkEnd w:id="15"/>
    <w:p>
      <w:pPr>
        <w:ind w:left="260" w:hanging="254"/>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departures of our key personnel;</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other companies that operate in our business segments or in our industry;</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trading liquidity;</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products are approved and become available for us to sell in the U.S., whether we ultimately achieve profitability or not;</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and</w:t>
      </w:r>
    </w:p>
    <w:p>
      <w:pPr>
        <w:spacing w:after="0" w:line="18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economic and other external factors.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market prices of the securities of early-stage companies, particularly companies like ours that are seeking to obtain regulatory approval of their product candidates and do not yet generate operating revenue, have been highly volatile and are likely to remain highly volatile in the future. This volatility has often been unrelated to the operating performance of particular companies. In the past, companies that experience volatility in the market price of their securities have often faced securities class action litigation. Whether or not meritorious, litigation brought against us could result in substantial costs, divert our management’s attention and resources and harm our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shares issued upon exercise of the Pre-Funded Warrants and the May 2026 Common Warrants could cause the market price of our Common Stock to decline.</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Although the selling stockholders must pay the fixed exercise price when exercising the May 2026 Common Warrants (unless utilizing a cashless exercise if permitted), the selling stockholders may resell the underlying shares at any price and at any time. In addition, the Pre-Funded Warrants have a nominal exercise price and are exercisable at any time, which could result in immediate or near-term issuance and resale of a substantial number of shares. Such resales, or the expectation that such resales may occur, could cause the market price of our Common Stock to decline.</w:t>
      </w:r>
    </w:p>
    <w:p>
      <w:pPr>
        <w:spacing w:after="0" w:line="1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We will seek to raise additional funds, finance acquisitions or develop strategic relationships by issuing securities that would dilute your ownership. Depending on the terms available to us, if these activities result in significant dilution, it may negatively impact the trading price of our Common Stock.</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Any additional financing that we secure may require the granting of rights, preferences or privileges senior to, or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those of our Common Stock. Any issuances by us of equity securities may be at or below the prevailing market price of our Common Stock and in any event may have a dilutive impact on your ownership interest, which could cause the market price of our Common Stock to decline. We may also raise additional funds through the incurrence of debt or the issuance or sale of other securities or instruments senior to our shares of Common Stock, which may be highly dilutive. The holders of any securities or instruments we may issue may have rights superior to the rights of holders of our Common Stock. If we experience dilution from the issuance of additional securities and we grant superior rights to new securities over holders of our Common Stock, it may negatively impact the trading price of our common stock and you may lose all or part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Trading of our Common Stock may be limited, making it difficult for our stockholders to sell their shares, and future sales of Common Stock could reduce our stock price.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Common Stock currently trades on Nasdaq under the ticker “HCWB.” The liquidity of our Common Stock may be limited, including in terms of the number of shares that can be bought and sold at a given price and reduction in security analysts’ and the media’s coverage of us, if any. These factors may result in different prices for our Common Stock than might otherwise be obtained in a more liquid market and could also result in a larger spread between the bid and asked prices for our Common Stock. In addition, in the absence of a large market capitalization, our Common Stock is less liquid than the stock of companies with broader public ownership, and, as a result, the trading prices of our Common Stock may be more volatile. In the absence of an active public trading market, an investor may be unable to liquidate his/her investment in our Common Stock. Trading of a relatively small volume of our common stock may have a greater impact on the trading price of our Common Stock. We cannot predict the prices at which our Common Stock will trade in the future, if at all.</w:t>
      </w:r>
    </w:p>
    <w:p>
      <w:pPr>
        <w:spacing w:after="0" w:line="1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1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do not anticipate paying any cash dividends to holders of our Common Stock for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FINRA sales practice requirements may limit a stockholder’s ability to buy and sell our securities.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FINRA “suitability rules.”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the investment is in the customer’s “best interest” and meet other SEC requirements. As a result, fewer broker-dealers may be willing to make a market in our common stock, reducing a stockholder’s ability to resell shares of our common stock.</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THE PIPE TRANSACTION</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May 21, 2026, we entered into a Securities Purchase Agreement (the “Purchase Agreement”) with Armistice Capital Master Fund Ltd. (the “Master Fund”) and certain affiliated and other accredited investors (collectively, the “Investors”), pursuant to which we issued and sold, in a private placement (the “PIPE Transaction”), an aggregate of 2,846,975 units at a purchase price of $1.405 per unit. Each unit consisted of (i) one share of our common stock, par value $0.0001 per share (the “Common Stock”), or, in lieu thereof, one pre-funded warrant to purchase one share of Common Stock (the “Pre-Funded Warrants”), and (ii) one common stock purchase warrant to purchase one share of Common Stock (the “May 2026 Common Warrants”). The shares of Common Stock or Pre-Funded Warrants and May 2026 Common Warrants were immediately separable and were issued separately.</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connection with the PIPE Transaction, on May 22, 2026, we issued an aggregate of 427,046 shares of Common Stock and Pre-Funded Warrants to purchase up to 2,419,929 shares of Common Stock. The Pre-Funded Warrants are exercisable immediately at an exercise price of $0.0001 per share and will remain exercisable until exercised in full. The Pre-Funded Warrants may not be exercised to the extent that, after giving effect to such exercise, the holder would beneficially own more than 9.99% of the number of shares of our Common Stock outstanding immediately after giving effect to such exercise. We also issued the May 2026 Common Warrants, which may be exercised to purchase up to 2,846,975 shares of Common Stock.</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May 2026 Common Warrants are exercisable immediately at an exercise price of $1.28 per share and expire on the five and one-half year anniversary of the date of issuance. The May 2026 Common Warrants may not be exercised to the extent that, after giving effect to such exercise, the holder would beneficially own more than 4.99% of the number of shares of our Common Stock outstanding immediately after giving effect to such exercise. Armistice was the sole purchaser of the May 2026 Common Warrants (other than affiliates of the Company) and therefore controls the timing and extent of any exercise of such warrants. We have no obligation or right to require Armistice to exercise any portion of the May 2026 Common Warrants.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securities issued in the PIPE Transaction, including the May 2026 Common Warrants and the shares of Common Stock issuable upon exercise thereof (the “Warrant Shares”), were offered and sold in reliance on the exemption from registration provided by Section 4(a)(2) of the Securities Act and Rule 506(b) of Regulation D promulgated thereunder and have not been registered under the Securities Act or applicable state securities laws. Pursuant to the terms of the Registration Rights Agreement entered into in connection with the PIPE Transaction, we agreed to file a registration statement to register the resale of the shares of Common Stock issued in the PIPE Transaction and the Warrant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PIPE Transaction closed on May 22, 2026 and resulted in gross proceeds to the Company of approximately $4.0 million, before deducting placement agent fees and offering expenses.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All of the securities offered by this prospectus are being registered for the account of the selling stockholders. We will not receive any proceeds from the sale of shares of Common Stock by the selling stockholders, and the proceeds from the exercise of Pre-Funded Warrants will be nominal. If the May 2026 Common Warrants are exercised, the Company may receive up to $3.6 million from the exercise of these warrants by the selling stockholders. We have agreed to pay all costs, expenses, and fees relating to the registration of the securities covered by this prospectus. The selling stockholders will bear all commissions and discounts, if any, attributable to its sale of shares of our Common Stock. The prices at which the shares of Common Stock covered by this prospectus may actually be sold will be determined by the prevailing public market price for shares of our Common Stock, by negotiations between the selling stockholders and buyers of our Common Stock in private transactions or as otherwise described in “Plan of Distribution.”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MARKET PRICE OF OUR COMMON STOCK AND DIVIDEND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currently listed on Nasdaq, under the symbol “HCWB”.</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3, 2026, the closing sale price of our Common Stock was $1.68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 2026, there were approximately 4,500 holders of record of our Common Stock. Such numbers do not include beneficial owners holding our securities through nominee names.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HCWB does not anticipate paying any cash dividends in the foreseeable future. If HCWB incurs indebtedness in the future to fund its future growth, its ability to pay dividends may be further restricted by the terms of such indebtedness.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 OF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with respect to the beneficial ownership of our Common Stock as of June 3, 2026, by:</w:t>
      </w:r>
    </w:p>
    <w:p>
      <w:pPr>
        <w:spacing w:after="0" w:line="181" w:lineRule="exact"/>
        <w:rPr>
          <w:sz w:val="20"/>
          <w:szCs w:val="20"/>
          <w:color w:val="auto"/>
        </w:rPr>
      </w:pPr>
    </w:p>
    <w:p>
      <w:pPr>
        <w:ind w:left="780" w:hanging="261"/>
        <w:spacing w:after="0"/>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stockholder, or group of affiliated persons, known by us to be the beneficial owner of more than 5% of our Common Stock;</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directors and executive officers as a group.</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June 3,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Percentage ownership of our Common Stock is based on 7,161,150 shares of our Common Stock outstanding on June 3, 2026, including 427,046 shares purchased in connection with the PIPE Transaction. Unless otherwise indicated, the address of each of the individuals and entities named below is c/o HCW Biologics Inc., 2929 N. Commerce Parkway, Miramar, Florida 33025.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187"/>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60 days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62"/>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03"/>
        </w:trPr>
        <w:tc>
          <w:tcPr>
            <w:tcW w:w="522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Hing C. Wong, Ph.D.</w:t>
            </w:r>
            <w:r>
              <w:rPr>
                <w:rFonts w:ascii="Times New Roman" w:cs="Times New Roman" w:eastAsia="Times New Roman" w:hAnsi="Times New Roman"/>
                <w:sz w:val="23"/>
                <w:szCs w:val="23"/>
                <w:color w:val="auto"/>
                <w:vertAlign w:val="superscript"/>
              </w:rPr>
              <w:t>(1)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615,790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20,000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635,790</w:t>
            </w:r>
          </w:p>
        </w:tc>
        <w:tc>
          <w:tcPr>
            <w:tcW w:w="3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3"/>
        </w:trPr>
        <w:tc>
          <w:tcPr>
            <w:tcW w:w="5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Peter Rhode, Ph.D.</w:t>
            </w:r>
            <w:r>
              <w:rPr>
                <w:rFonts w:ascii="Times New Roman" w:cs="Times New Roman" w:eastAsia="Times New Roman" w:hAnsi="Times New Roman"/>
                <w:sz w:val="23"/>
                <w:szCs w:val="23"/>
                <w:color w:val="auto"/>
                <w:vertAlign w:val="superscript"/>
              </w:rPr>
              <w:t>(2)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1,939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Rebecca Byam</w:t>
            </w:r>
            <w:r>
              <w:rPr>
                <w:rFonts w:ascii="Times New Roman" w:cs="Times New Roman" w:eastAsia="Times New Roman" w:hAnsi="Times New Roman"/>
                <w:sz w:val="23"/>
                <w:szCs w:val="23"/>
                <w:color w:val="auto"/>
                <w:vertAlign w:val="superscript"/>
              </w:rPr>
              <w:t>(3)</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57,245</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w:t>
            </w:r>
          </w:p>
        </w:tc>
        <w:tc>
          <w:tcPr>
            <w:tcW w:w="320" w:type="dxa"/>
            <w:vAlign w:val="bottom"/>
          </w:tcPr>
          <w:p>
            <w:pPr>
              <w:spacing w:after="0"/>
              <w:rPr>
                <w:sz w:val="17"/>
                <w:szCs w:val="17"/>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62,620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Scott T. Garrett</w:t>
            </w:r>
            <w:r>
              <w:rPr>
                <w:rFonts w:ascii="Times New Roman" w:cs="Times New Roman" w:eastAsia="Times New Roman" w:hAnsi="Times New Roman"/>
                <w:sz w:val="23"/>
                <w:szCs w:val="23"/>
                <w:color w:val="auto"/>
                <w:vertAlign w:val="superscript"/>
              </w:rPr>
              <w:t>(4)</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203,441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205,639</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3"/>
        </w:trPr>
        <w:tc>
          <w:tcPr>
            <w:tcW w:w="522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Rick S. Greene</w:t>
            </w:r>
            <w:r>
              <w:rPr>
                <w:rFonts w:ascii="Times New Roman" w:cs="Times New Roman" w:eastAsia="Times New Roman" w:hAnsi="Times New Roman"/>
                <w:sz w:val="23"/>
                <w:szCs w:val="23"/>
                <w:color w:val="auto"/>
                <w:vertAlign w:val="superscript"/>
              </w:rPr>
              <w:t>(5)</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2,066</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3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Lisa M. Giles</w:t>
            </w:r>
            <w:r>
              <w:rPr>
                <w:rFonts w:ascii="Times New Roman" w:cs="Times New Roman" w:eastAsia="Times New Roman" w:hAnsi="Times New Roman"/>
                <w:sz w:val="23"/>
                <w:szCs w:val="23"/>
                <w:color w:val="auto"/>
                <w:vertAlign w:val="superscript"/>
              </w:rPr>
              <w:t>(6)</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896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executive officers and directors as a group (6 persons)</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887,097</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34,853</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921,950</w:t>
            </w:r>
          </w:p>
        </w:tc>
        <w:tc>
          <w:tcPr>
            <w:tcW w:w="3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w:t>
            </w:r>
          </w:p>
        </w:tc>
      </w:tr>
    </w:tbl>
    <w:p>
      <w:pPr>
        <w:spacing w:after="0" w:line="142" w:lineRule="exact"/>
        <w:rPr>
          <w:sz w:val="20"/>
          <w:szCs w:val="20"/>
          <w:color w:val="auto"/>
        </w:rPr>
      </w:pPr>
    </w:p>
    <w:p>
      <w:pPr>
        <w:ind w:left="260" w:hanging="254"/>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the outstanding shares of our Common Stock.</w:t>
      </w:r>
    </w:p>
    <w:p>
      <w:pPr>
        <w:spacing w:after="0" w:line="24" w:lineRule="exact"/>
        <w:rPr>
          <w:sz w:val="20"/>
          <w:szCs w:val="20"/>
          <w:color w:val="auto"/>
        </w:rPr>
      </w:pPr>
    </w:p>
    <w:p>
      <w:pPr>
        <w:ind w:left="260" w:hanging="254"/>
        <w:spacing w:after="0" w:line="254"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512,598 shares held directly by Dr. Hing C. Wong, including 113,879 shares purchased in connection with the PIPE Transaction, and (b) 103,192 shares held by Dr. Hing C. Wong and Ms. Bee Yau Huang.</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1,939 shares held directly by Peter Rhode.</w:t>
      </w:r>
    </w:p>
    <w:p>
      <w:pPr>
        <w:spacing w:after="0" w:line="1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57,245 shares held directly by Rebecca Byam, including 14,235 shares purchased in connection with the PIPE Transaction.</w:t>
      </w:r>
    </w:p>
    <w:p>
      <w:pPr>
        <w:spacing w:after="0" w:line="10" w:lineRule="exact"/>
        <w:rPr>
          <w:rFonts w:ascii="Times New Roman" w:cs="Times New Roman" w:eastAsia="Times New Roman" w:hAnsi="Times New Roman"/>
          <w:sz w:val="14"/>
          <w:szCs w:val="14"/>
          <w:color w:val="auto"/>
        </w:rPr>
      </w:pPr>
    </w:p>
    <w:p>
      <w:pPr>
        <w:ind w:left="260" w:hanging="254"/>
        <w:spacing w:after="0" w:line="254"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184,633 shares held by Garrett Capital Partners, LLC, including 177,936 shares purchased in connection with the PIPE Transaction. Mr. Garrett is deemed to beneficially own the shares held by Garrett Capital Partners, LLC and (b) 18,808 shares held directly by Mr. Garrett.</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2,066 shares held directly by Rick S. Greene.</w:t>
      </w:r>
    </w:p>
    <w:p>
      <w:pPr>
        <w:spacing w:after="0" w:line="1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896 shares held by Lisa M. Giles Living Trust.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securities offered under this prospectus may be offered from time to time by the selling stockholders named below or by any of its respective pledgees, donees, transferees or other successors-in-interest. As used in this prospectus, the term “selling stockholder” includes the selling stockholders identified below and any donees, pledgees, transferees or other successors-in-interest selling shares received after the date of this prospectus from the selling stockholders as a gift, pledge or other non-sale related transfer. The selling stockholders named below will acquire the shares of our Common Stock being offered under this prospectus directly from us. We will issue the securities to the selling stockholders in reliance on an exemption from the registration requirements of the Securities Act pursuant to Section 4(a)(2) of the Securities Act and Rule 506 promulgated thereunder.</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table sets forth as of June 3, 2026: (1) the name of the selling stockholders for whom we are registering shares of our Common Stock under the registration statement of which this prospectus is a part, (2) the number of shares of our Common Stock beneficially owned by the selling stockholder prior to the offering, determined in accordance with Rule 13d-3 under the Exchange Act, (3) the number of shares of our Common Stock that may be offered by the selling stockholders under this prospectus and (4) the number of shares of our Common Stock to be owned by the selling stockholders after completion of this offering. We will not receive any of the proceeds from the sale of the shares of our Common Stock offered under this prospectus. The amounts and information set forth below are based upon information provided to us by the selling stockholders or its representatives, or on our records, as of June 3, 2026.</w:t>
      </w:r>
    </w:p>
    <w:p>
      <w:pPr>
        <w:sectPr>
          <w:pgSz w:w="11900" w:h="16838" w:orient="portrait"/>
          <w:cols w:equalWidth="0" w:num="1">
            <w:col w:w="11280"/>
          </w:cols>
          <w:pgMar w:left="300" w:top="550" w:right="319" w:bottom="1440" w:gutter="0" w:footer="0" w:header="0"/>
        </w:sect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800" w:type="dxa"/>
            <w:vAlign w:val="bottom"/>
          </w:tcPr>
          <w:p>
            <w:pPr>
              <w:spacing w:after="0"/>
              <w:rPr>
                <w:sz w:val="14"/>
                <w:szCs w:val="14"/>
                <w:color w:val="auto"/>
              </w:rPr>
            </w:pPr>
          </w:p>
        </w:tc>
        <w:tc>
          <w:tcPr>
            <w:tcW w:w="1560" w:type="dxa"/>
            <w:vAlign w:val="bottom"/>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0" w:type="dxa"/>
            <w:vAlign w:val="bottom"/>
          </w:tcPr>
          <w:p>
            <w:pPr>
              <w:spacing w:after="0"/>
              <w:rPr>
                <w:sz w:val="1"/>
                <w:szCs w:val="1"/>
                <w:color w:val="auto"/>
              </w:rPr>
            </w:pPr>
          </w:p>
        </w:tc>
      </w:tr>
      <w:tr>
        <w:trPr>
          <w:trHeight w:val="187"/>
        </w:trPr>
        <w:tc>
          <w:tcPr>
            <w:tcW w:w="4440" w:type="dxa"/>
            <w:vAlign w:val="bottom"/>
            <w:vMerge w:val="continue"/>
          </w:tcPr>
          <w:p>
            <w:pPr>
              <w:spacing w:after="0"/>
              <w:rPr>
                <w:sz w:val="16"/>
                <w:szCs w:val="16"/>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Owned Prior to the Offering (1)</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82"/>
              </w:rPr>
              <w:t>   Number </w:t>
            </w:r>
          </w:p>
        </w:tc>
        <w:tc>
          <w:tcPr>
            <w:tcW w:w="15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4"/>
              </w:rPr>
              <w:t>   Percentage 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40" w:type="dxa"/>
            <w:vAlign w:val="bottom"/>
            <w:vMerge w:val="restart"/>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60"/>
        </w:trPr>
        <w:tc>
          <w:tcPr>
            <w:tcW w:w="10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10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Owned After the Completion of the</w:t>
            </w:r>
          </w:p>
        </w:tc>
        <w:tc>
          <w:tcPr>
            <w:tcW w:w="0" w:type="dxa"/>
            <w:vAlign w:val="bottom"/>
          </w:tcPr>
          <w:p>
            <w:pPr>
              <w:spacing w:after="0"/>
              <w:rPr>
                <w:sz w:val="1"/>
                <w:szCs w:val="1"/>
                <w:color w:val="auto"/>
              </w:rPr>
            </w:pPr>
          </w:p>
        </w:tc>
      </w:tr>
      <w:tr>
        <w:trPr>
          <w:trHeight w:val="198"/>
        </w:trPr>
        <w:tc>
          <w:tcPr>
            <w:tcW w:w="10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Being</w:t>
            </w:r>
          </w:p>
        </w:tc>
        <w:tc>
          <w:tcPr>
            <w:tcW w:w="8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Offering (2)</w:t>
            </w:r>
          </w:p>
        </w:tc>
        <w:tc>
          <w:tcPr>
            <w:tcW w:w="0" w:type="dxa"/>
            <w:vAlign w:val="bottom"/>
          </w:tcPr>
          <w:p>
            <w:pPr>
              <w:spacing w:after="0"/>
              <w:rPr>
                <w:sz w:val="1"/>
                <w:szCs w:val="1"/>
                <w:color w:val="auto"/>
              </w:rPr>
            </w:pPr>
          </w:p>
        </w:tc>
      </w:tr>
      <w:tr>
        <w:trPr>
          <w:trHeight w:val="173"/>
        </w:trPr>
        <w:tc>
          <w:tcPr>
            <w:tcW w:w="10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80"/>
              </w:rPr>
              <w:t>   Number </w:t>
            </w:r>
          </w:p>
        </w:tc>
        <w:tc>
          <w:tcPr>
            <w:tcW w:w="15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2"/>
              </w:rPr>
              <w:t>   Percentage </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880" w:space="720"/>
            <w:col w:w="3680"/>
          </w:cols>
          <w:pgMar w:left="300" w:top="550"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42"/>
        </w:trPr>
        <w:tc>
          <w:tcPr>
            <w:tcW w:w="4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Armistice Capital, LLC (3)</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4,839,858(3A)</w:t>
            </w:r>
          </w:p>
        </w:tc>
        <w:tc>
          <w:tcPr>
            <w:tcW w:w="164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38.9%(3B)</w:t>
            </w:r>
          </w:p>
        </w:tc>
        <w:tc>
          <w:tcPr>
            <w:tcW w:w="12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4,839,858</w:t>
            </w:r>
          </w:p>
        </w:tc>
        <w:tc>
          <w:tcPr>
            <w:tcW w:w="1380" w:type="dxa"/>
            <w:vAlign w:val="bottom"/>
            <w:gridSpan w:val="2"/>
            <w:shd w:val="clear" w:color="auto" w:fill="CCEEFF"/>
          </w:tcPr>
          <w:p>
            <w:pPr>
              <w:ind w:left="860"/>
              <w:spacing w:after="0" w:line="142" w:lineRule="exact"/>
              <w:rPr>
                <w:sz w:val="20"/>
                <w:szCs w:val="20"/>
                <w:color w:val="auto"/>
              </w:rPr>
            </w:pPr>
            <w:r>
              <w:rPr>
                <w:rFonts w:ascii="Times New Roman" w:cs="Times New Roman" w:eastAsia="Times New Roman" w:hAnsi="Times New Roman"/>
                <w:sz w:val="14"/>
                <w:szCs w:val="14"/>
                <w:color w:val="auto"/>
              </w:rPr>
              <w:t>—(3C)</w:t>
            </w:r>
          </w:p>
        </w:tc>
        <w:tc>
          <w:tcPr>
            <w:tcW w:w="1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*(3D)</w:t>
            </w:r>
          </w:p>
        </w:tc>
      </w:tr>
      <w:tr>
        <w:trPr>
          <w:trHeight w:val="171"/>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Hing C. Wong (4)</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729,669</w:t>
            </w: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5.9%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227,758</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501,911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w:t>
            </w:r>
          </w:p>
        </w:tc>
      </w:tr>
      <w:tr>
        <w:trPr>
          <w:trHeight w:val="171"/>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 Cheung and Ling Cheung (5)</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71,174</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71,174</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Poon and Manwah Wong (6)</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28,470</w:t>
            </w: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28,470</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171"/>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H&amp;H Yeung Corporation (7)</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142,348</w:t>
            </w: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142,348</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Rebecca Byam (8)</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71,480</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28,470</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43,010</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T. Garrett (9)</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381,377</w:t>
            </w: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355,872</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25,505</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r>
    </w:tbl>
    <w:p>
      <w:pPr>
        <w:spacing w:after="0" w:line="142" w:lineRule="exact"/>
        <w:rPr>
          <w:sz w:val="20"/>
          <w:szCs w:val="20"/>
          <w:color w:val="auto"/>
        </w:rPr>
      </w:pPr>
    </w:p>
    <w:p>
      <w:pPr>
        <w:ind w:left="520" w:hanging="514"/>
        <w:spacing w:after="0" w:line="290"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based on 7,161,150 shares issued and outstanding on June 3, 2026, plus 2,419,929 shares issuable upon the exercise of Pre-Funded Warrants and 2,846,975 shares issuable upon exercise of May 2026 Common Warrants, or 12,428,054 shares of Common Stock.</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type w:val="continuous"/>
        </w:sectPr>
      </w:pPr>
    </w:p>
    <w:bookmarkStart w:id="21" w:name="page22"/>
    <w:bookmarkEnd w:id="21"/>
    <w:p>
      <w:pPr>
        <w:jc w:val="both"/>
        <w:ind w:left="520" w:hanging="514"/>
        <w:spacing w:after="0" w:line="266"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prior to the offering assumes selling stockholders hold all of the shares of Common Stock being registered for resale by this prospectus. For officers and directors of the Company, beneficial ownership reports all shares held by such persons, including securities acquired in the PIPE Transaction. The percentages shown are based on 6,734,104 shares of Common Stock outstanding as of May 21, 2026, plus (i) 427,046 shares issued at the closing of the PIPE Transaction on May 22, 2026, (ii) 2,419,929 shares issuable upon exercise of Pre-Funded Warrants and (iii) 2,846,975 shares issuable upon exercise of May 2026 Common Warrants.</w:t>
      </w:r>
    </w:p>
    <w:p>
      <w:pPr>
        <w:spacing w:after="0" w:line="141" w:lineRule="exact"/>
        <w:rPr>
          <w:rFonts w:ascii="Times New Roman" w:cs="Times New Roman" w:eastAsia="Times New Roman" w:hAnsi="Times New Roman"/>
          <w:sz w:val="14"/>
          <w:szCs w:val="14"/>
          <w:color w:val="auto"/>
        </w:rPr>
      </w:pPr>
    </w:p>
    <w:p>
      <w:pPr>
        <w:jc w:val="both"/>
        <w:ind w:left="520" w:hanging="514"/>
        <w:spacing w:after="0" w:line="266"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after the completion of the offering assumes the sale of all shares of Common Stock being registered for resale by this prospectus, including shares issued in the PIPE Transaction and shares issuable upon exercise of the Pre-Funded Warrants and May 2026 Common Warrants. The selling stockholders may sell all, some, or none of the shares offered under this prospectus, subject to ownership restrictions for Armistice described below. The percentages shown are based on 12,428,054 shares of Common Stock outstanding, as adjusted for the PIPE Transaction and the securities issuable thereunder.</w:t>
      </w:r>
    </w:p>
    <w:p>
      <w:pPr>
        <w:spacing w:after="0" w:line="141" w:lineRule="exact"/>
        <w:rPr>
          <w:rFonts w:ascii="Times New Roman" w:cs="Times New Roman" w:eastAsia="Times New Roman" w:hAnsi="Times New Roman"/>
          <w:sz w:val="14"/>
          <w:szCs w:val="14"/>
          <w:color w:val="auto"/>
        </w:rPr>
      </w:pPr>
    </w:p>
    <w:p>
      <w:pPr>
        <w:jc w:val="both"/>
        <w:ind w:left="520" w:hanging="514"/>
        <w:spacing w:after="0" w:line="262"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directly held by Armistice Capital Master Fund Ltd., a Cayman Islands exempted company (the “Master Fund”). Armistice Capital, LLC (“Armistice”), as the investment manager of the Master Fund, and Steven Boyd, as the Managing Member of Armistice, may be deemed to beneficially own the securities held by the Master Fund. The securities issuable upon exercise of the May 2026 Common Warrants are subject to a beneficial ownership limitation of 4.99%, and the securities issuable upon exercise of the Pre-Funded Warrants are subject to a beneficial ownership limitation of 9.99%, in each case such that the holder may not exercise such warrants to the extent that, after giving effect to such exercise, it would beneficially own more than the applicable percentage of the outstanding shares of Common Stock. The address of Armistice Capital Master Fund Ltd. is c/o Armistice Capital, LLC, 510 Madison Avenue, 7th Floor, New York, New York 10022.</w:t>
      </w:r>
    </w:p>
    <w:p>
      <w:pPr>
        <w:spacing w:after="0" w:line="143" w:lineRule="exact"/>
        <w:rPr>
          <w:sz w:val="20"/>
          <w:szCs w:val="20"/>
          <w:color w:val="auto"/>
        </w:rPr>
      </w:pPr>
    </w:p>
    <w:p>
      <w:pPr>
        <w:jc w:val="both"/>
        <w:ind w:left="520" w:hanging="519"/>
        <w:spacing w:after="0" w:line="262" w:lineRule="auto"/>
        <w:tabs>
          <w:tab w:leader="none" w:pos="500" w:val="left"/>
        </w:tabs>
        <w:rPr>
          <w:sz w:val="20"/>
          <w:szCs w:val="20"/>
          <w:color w:val="auto"/>
        </w:rPr>
      </w:pPr>
      <w:r>
        <w:rPr>
          <w:rFonts w:ascii="Times New Roman" w:cs="Times New Roman" w:eastAsia="Times New Roman" w:hAnsi="Times New Roman"/>
          <w:sz w:val="14"/>
          <w:szCs w:val="14"/>
          <w:color w:val="auto"/>
        </w:rPr>
        <w:t>(3A)</w:t>
      </w:r>
      <w:r>
        <w:rPr>
          <w:sz w:val="20"/>
          <w:szCs w:val="20"/>
          <w:color w:val="auto"/>
        </w:rPr>
        <w:tab/>
      </w:r>
      <w:r>
        <w:rPr>
          <w:rFonts w:ascii="Times New Roman" w:cs="Times New Roman" w:eastAsia="Times New Roman" w:hAnsi="Times New Roman"/>
          <w:sz w:val="14"/>
          <w:szCs w:val="14"/>
          <w:color w:val="auto"/>
        </w:rPr>
        <w:t>The number of shares and ownership percentages presented for Armistice in this table assume, solely for illustrative purposes, the full exercise of the Pre-Funded Warrants and May 2026 Common Warrants without regard to the beneficial ownership limitations described above. The number of shares shown as beneficially owned after completion of the offering may differ from the actual number of shares the selling stockholder could own from time to time and are subject to an ownership blocker, as discussed below. Notwithstanding these amounts, Armistice is subject to a 4.99% or 9.99%, as applicable, beneficial ownership limitation that contractually prohibits Armistice from acquiring or holding shares of our Common Stock in excess of such limitation at any time. As a result, Armistice does not beneficially own more than 4.99% of our Common Stock prior to this offering and will not beneficially own more than 4.99% (or 9.99%, as applicable) after this offering, regardless of the number of shares registered for resale.</w:t>
      </w:r>
    </w:p>
    <w:p>
      <w:pPr>
        <w:spacing w:after="0" w:line="143" w:lineRule="exact"/>
        <w:rPr>
          <w:sz w:val="20"/>
          <w:szCs w:val="20"/>
          <w:color w:val="auto"/>
        </w:rPr>
      </w:pPr>
    </w:p>
    <w:p>
      <w:pPr>
        <w:jc w:val="both"/>
        <w:ind w:left="520" w:hanging="519"/>
        <w:spacing w:after="0" w:line="266" w:lineRule="auto"/>
        <w:tabs>
          <w:tab w:leader="none" w:pos="500" w:val="left"/>
        </w:tabs>
        <w:rPr>
          <w:sz w:val="20"/>
          <w:szCs w:val="20"/>
          <w:color w:val="auto"/>
        </w:rPr>
      </w:pPr>
      <w:r>
        <w:rPr>
          <w:rFonts w:ascii="Times New Roman" w:cs="Times New Roman" w:eastAsia="Times New Roman" w:hAnsi="Times New Roman"/>
          <w:sz w:val="14"/>
          <w:szCs w:val="14"/>
          <w:color w:val="auto"/>
        </w:rPr>
        <w:t>(3B)</w:t>
      </w:r>
      <w:r>
        <w:rPr>
          <w:sz w:val="20"/>
          <w:szCs w:val="20"/>
          <w:color w:val="auto"/>
        </w:rPr>
        <w:tab/>
      </w:r>
      <w:r>
        <w:rPr>
          <w:rFonts w:ascii="Times New Roman" w:cs="Times New Roman" w:eastAsia="Times New Roman" w:hAnsi="Times New Roman"/>
          <w:sz w:val="14"/>
          <w:szCs w:val="14"/>
          <w:color w:val="auto"/>
        </w:rPr>
        <w:t>The percentage beneficial ownership amounts shown for Armistice do not reflect the contractual beneficial ownership blocker and therefore overstate Armistice’s actual beneficial ownership. Armistice’s actual beneficial ownership before and after the offering will remain at or below 4.99% or 9.99%, as applicable, because Armistice may not exercise, convert or settle any securities to the extent such action would result in ownership above the applicable limitation. Thus, the number of shares shown as beneficially owned after completion of the offering may differ from the actual number of shares the selling stockholder may own from time to time.</w:t>
      </w:r>
    </w:p>
    <w:p>
      <w:pPr>
        <w:spacing w:after="0" w:line="141" w:lineRule="exact"/>
        <w:rPr>
          <w:sz w:val="20"/>
          <w:szCs w:val="20"/>
          <w:color w:val="auto"/>
        </w:rPr>
      </w:pPr>
    </w:p>
    <w:p>
      <w:pPr>
        <w:jc w:val="both"/>
        <w:ind w:left="520" w:hanging="519"/>
        <w:spacing w:after="0" w:line="272" w:lineRule="auto"/>
        <w:tabs>
          <w:tab w:leader="none" w:pos="500" w:val="left"/>
        </w:tabs>
        <w:rPr>
          <w:sz w:val="20"/>
          <w:szCs w:val="20"/>
          <w:color w:val="auto"/>
        </w:rPr>
      </w:pPr>
      <w:r>
        <w:rPr>
          <w:rFonts w:ascii="Times New Roman" w:cs="Times New Roman" w:eastAsia="Times New Roman" w:hAnsi="Times New Roman"/>
          <w:sz w:val="14"/>
          <w:szCs w:val="14"/>
          <w:color w:val="auto"/>
        </w:rPr>
        <w:t>3(C)</w:t>
      </w:r>
      <w:r>
        <w:rPr>
          <w:sz w:val="20"/>
          <w:szCs w:val="20"/>
          <w:color w:val="auto"/>
        </w:rPr>
        <w:tab/>
      </w:r>
      <w:r>
        <w:rPr>
          <w:rFonts w:ascii="Times New Roman" w:cs="Times New Roman" w:eastAsia="Times New Roman" w:hAnsi="Times New Roman"/>
          <w:sz w:val="14"/>
          <w:szCs w:val="14"/>
          <w:color w:val="auto"/>
        </w:rPr>
        <w:t>The number of shares held and ownership percentages shown for Armistice after the offering assume that the selling stockholder has sold all shares registered in this registration statement. The number of shares shown as beneficially owned after completion of the offering may differ from the actual number of shares the selling stockholder could own from time to time and are subject to an ownership blocker, as discussed in note 3(D).</w:t>
      </w:r>
    </w:p>
    <w:p>
      <w:pPr>
        <w:spacing w:after="0" w:line="137" w:lineRule="exact"/>
        <w:rPr>
          <w:sz w:val="20"/>
          <w:szCs w:val="20"/>
          <w:color w:val="auto"/>
        </w:rPr>
      </w:pPr>
    </w:p>
    <w:p>
      <w:pPr>
        <w:jc w:val="both"/>
        <w:ind w:left="520" w:hanging="519"/>
        <w:spacing w:after="0" w:line="290" w:lineRule="auto"/>
        <w:tabs>
          <w:tab w:leader="none" w:pos="500" w:val="left"/>
        </w:tabs>
        <w:rPr>
          <w:sz w:val="20"/>
          <w:szCs w:val="20"/>
          <w:color w:val="auto"/>
        </w:rPr>
      </w:pPr>
      <w:r>
        <w:rPr>
          <w:rFonts w:ascii="Times New Roman" w:cs="Times New Roman" w:eastAsia="Times New Roman" w:hAnsi="Times New Roman"/>
          <w:sz w:val="14"/>
          <w:szCs w:val="14"/>
          <w:color w:val="auto"/>
        </w:rPr>
        <w:t>3(D)</w:t>
      </w:r>
      <w:r>
        <w:rPr>
          <w:sz w:val="20"/>
          <w:szCs w:val="20"/>
          <w:color w:val="auto"/>
        </w:rPr>
        <w:tab/>
      </w:r>
      <w:r>
        <w:rPr>
          <w:rFonts w:ascii="Times New Roman" w:cs="Times New Roman" w:eastAsia="Times New Roman" w:hAnsi="Times New Roman"/>
          <w:sz w:val="14"/>
          <w:szCs w:val="14"/>
          <w:color w:val="auto"/>
        </w:rPr>
        <w:t>Because the Pre-Funded Warrants and May 2026 Common Warrants are subject to beneficial ownership limitations, the number of shares shown as beneficially owned after completion of the offering may differ from the actual number of shares Armistice may own from time to time.</w:t>
      </w:r>
    </w:p>
    <w:p>
      <w:pPr>
        <w:spacing w:after="0" w:line="124" w:lineRule="exact"/>
        <w:rPr>
          <w:sz w:val="20"/>
          <w:szCs w:val="20"/>
          <w:color w:val="auto"/>
        </w:rPr>
      </w:pPr>
    </w:p>
    <w:p>
      <w:pPr>
        <w:ind w:left="520" w:hanging="514"/>
        <w:spacing w:after="0" w:line="290"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512,598 shares held directly by Dr. Hing C. Wong, including 113,879 shares purchased in connection with the PIPE Transaction and (b) 103,192 shares held by Dr. Wong and Ms. Bee Yau Huang, and (c) 113,879 shares issuable upon the exercise of the May 2026 Common Stock Warrants held directly by Dr. Wong.</w:t>
      </w:r>
    </w:p>
    <w:p>
      <w:pPr>
        <w:spacing w:after="0" w:line="124"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35,587 shares and (b) 35,587 shares issuable upon the exercise of the May 2026 Common Stock Warrants held by Mr. Chris Cheung and Ms. Ling Cheung.</w:t>
      </w:r>
    </w:p>
    <w:p>
      <w:pPr>
        <w:spacing w:after="0" w:line="181"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14,235 shares and (b) 14,235 shares issuable upon the exercise the May 2026 Common Stock Warrants held by Michael Poon and Manwah Wong.</w:t>
      </w:r>
    </w:p>
    <w:p>
      <w:pPr>
        <w:spacing w:after="0" w:line="181" w:lineRule="exact"/>
        <w:rPr>
          <w:rFonts w:ascii="Times New Roman" w:cs="Times New Roman" w:eastAsia="Times New Roman" w:hAnsi="Times New Roman"/>
          <w:sz w:val="14"/>
          <w:szCs w:val="14"/>
          <w:color w:val="auto"/>
        </w:rPr>
      </w:pPr>
    </w:p>
    <w:p>
      <w:pPr>
        <w:ind w:left="520" w:hanging="514"/>
        <w:spacing w:after="0" w:line="290"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71,174 shares and (b) 71,174 shares issuable upon the exercise of the May 2026 Common Stock Warrants held by H&amp;H Yeung Corporation. The address for H&amp;H Yeung Corporation is 4531 Ponce de Leon Blvd, Ste 300, Coral Gables, FL 33146.</w:t>
      </w:r>
    </w:p>
    <w:p>
      <w:pPr>
        <w:spacing w:after="0" w:line="124" w:lineRule="exact"/>
        <w:rPr>
          <w:rFonts w:ascii="Times New Roman" w:cs="Times New Roman" w:eastAsia="Times New Roman" w:hAnsi="Times New Roman"/>
          <w:sz w:val="14"/>
          <w:szCs w:val="14"/>
          <w:color w:val="auto"/>
        </w:rPr>
      </w:pPr>
    </w:p>
    <w:p>
      <w:pPr>
        <w:ind w:left="520" w:hanging="514"/>
        <w:spacing w:after="0" w:line="290"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57,245 shares, including 14,235 shares purchased in connection with the PIPE Transaction and (b) 14,235 shares issuable upon the exercise of the May 2026 Common Warrants held directly by Rebecca Byam.</w:t>
      </w:r>
    </w:p>
    <w:p>
      <w:pPr>
        <w:spacing w:after="0" w:line="124" w:lineRule="exact"/>
        <w:rPr>
          <w:rFonts w:ascii="Times New Roman" w:cs="Times New Roman" w:eastAsia="Times New Roman" w:hAnsi="Times New Roman"/>
          <w:sz w:val="14"/>
          <w:szCs w:val="14"/>
          <w:color w:val="auto"/>
        </w:rPr>
      </w:pPr>
    </w:p>
    <w:p>
      <w:pPr>
        <w:jc w:val="both"/>
        <w:ind w:left="520" w:hanging="514"/>
        <w:spacing w:after="0" w:line="272"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184,633 shares held by Garrett Capital Partners, LLC, including 177,936 shares purchased in connection with the PIPE Transaction, Mr. Garrett is deemed to beneficially own the shares held by Garrett Capital Partners, LLC, (b) 18,808 shares held directly by Mr. Garrett, who is the sole member of Garrett Capital Partners, and (c) 177,936 shares issuable upon the exercise of the May 2026 Common Warrants held directly by Mr. Garrett. The address for Garrett Capital Partners, LLC is 51 Pembroke Dr., Lake Forest, IL 60045.</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4"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addition to the executive officer and director compensation arrangements discussed under “Executive Compensation” and “Director Compensation,” respectively, since June 1, 2022, the following are the only transactions or series of similar transactions to which we were or will be a party in which the amount involved exceeds the lesser of (i) $120,000 or (ii) 1% of the Company’s average total assets at year-end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PIPE Transaction</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May 21, 2026, we entered into a Securities Purchase Agreement with certain accredited investors (the “Purchasers”), including certain of our officers and directors and their affiliates, pursuant to which we issued and sold shares of our common stock, pre-funded warrants to purchase shares of common stock and common stock purchase warrants (the PIPE Transaction), for aggregate gross proceeds of approximately $4.0 million.</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 connection with the PIPE Transaction, Hing C. Wong, Ph.D., our Founder and Chief Executive Officer, Rebecca Byam, our Chief Financial Officer, Scott Garrett, a member of our Board of Directors, and certain existing shareholders participated as Purchasers on the same terms and conditions as the other Purchasers.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securities purchased by our directors, executive officers and their affiliates in the PIPE Transaction:</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Purchase</w:t>
            </w:r>
          </w:p>
        </w:tc>
      </w:tr>
      <w:tr>
        <w:trPr>
          <w:trHeight w:val="187"/>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2"/>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Rebecca Byam, Chief Financial Officer</w:t>
            </w:r>
          </w:p>
        </w:tc>
        <w:tc>
          <w:tcPr>
            <w:tcW w:w="1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14,235</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80" w:type="dxa"/>
            <w:vAlign w:val="bottom"/>
            <w:tcBorders>
              <w:top w:val="single" w:sz="8" w:color="CCEEFF"/>
            </w:tcBorders>
            <w:shd w:val="clear" w:color="auto" w:fill="CCEEFF"/>
          </w:tcPr>
          <w:p>
            <w:pPr>
              <w:spacing w:after="0"/>
              <w:rPr>
                <w:sz w:val="14"/>
                <w:szCs w:val="14"/>
                <w:color w:val="auto"/>
              </w:rPr>
            </w:pPr>
          </w:p>
        </w:tc>
      </w:tr>
      <w:tr>
        <w:trPr>
          <w:trHeight w:val="171"/>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Hing C. Wong, Chief Executive Officer*</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113,879</w:t>
            </w:r>
          </w:p>
        </w:tc>
        <w:tc>
          <w:tcPr>
            <w:tcW w:w="5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160,000.00</w:t>
            </w:r>
          </w:p>
        </w:tc>
        <w:tc>
          <w:tcPr>
            <w:tcW w:w="80" w:type="dxa"/>
            <w:vAlign w:val="bottom"/>
          </w:tcPr>
          <w:p>
            <w:pPr>
              <w:spacing w:after="0"/>
              <w:rPr>
                <w:sz w:val="14"/>
                <w:szCs w:val="14"/>
                <w:color w:val="auto"/>
              </w:rPr>
            </w:pPr>
          </w:p>
        </w:tc>
      </w:tr>
      <w:tr>
        <w:trPr>
          <w:trHeight w:val="171"/>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Scott Garrett, Chairman of the Board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177,936</w:t>
            </w:r>
          </w:p>
        </w:tc>
        <w:tc>
          <w:tcPr>
            <w:tcW w:w="5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shd w:val="clear" w:color="auto" w:fill="CCEEFF"/>
          </w:tcPr>
          <w:p>
            <w:pPr>
              <w:spacing w:after="0"/>
              <w:rPr>
                <w:sz w:val="14"/>
                <w:szCs w:val="14"/>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Beneficial owner of more than 5% of the Common Stock</w:t>
      </w:r>
    </w:p>
    <w:p>
      <w:pPr>
        <w:spacing w:after="0" w:line="18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The shares of common stock issued to our officers, directors and their affiliates in the PIPE Transaction will not be sold or transferred except as permitted under applicable law and pursuant to registration or an exemption from the registration requirements of the Securities Act.</w:t>
      </w:r>
    </w:p>
    <w:p>
      <w:pPr>
        <w:spacing w:after="0" w:line="12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Our Board of Directors and Audit Committee reviewed and approved the participation by our officers, directors and their affiliates in the PIPE Transaction under our related party transaction policy and determined that the transaction was in compliance with such policy and on terms no less favorable to us than those available from unaffiliated third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Private Placement</w:t>
      </w:r>
    </w:p>
    <w:p>
      <w:pPr>
        <w:spacing w:after="0" w:line="1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On February 20, 2024, we entered into subscription agreements with certain of our officers and directors, pursuant to which we sold an aggregate of 44,643 shares of our Common Stock, $0.0001 par value per share, at a purchase price of $56.00 per share for an aggregate purchase price of $2.5 million.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The following table summarizes the Common Stock purchased by our directors, executive officers, and beneficial owners of more than 5% of Common Stock.</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Purchase</w:t>
            </w:r>
          </w:p>
        </w:tc>
      </w:tr>
      <w:tr>
        <w:trPr>
          <w:trHeight w:val="187"/>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32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2"/>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Rebecca Byam, Chief Financial Officer</w:t>
            </w:r>
          </w:p>
        </w:tc>
        <w:tc>
          <w:tcPr>
            <w:tcW w:w="1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19,018</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1,064,999.60</w:t>
            </w:r>
          </w:p>
        </w:tc>
        <w:tc>
          <w:tcPr>
            <w:tcW w:w="80" w:type="dxa"/>
            <w:vAlign w:val="bottom"/>
            <w:tcBorders>
              <w:top w:val="single" w:sz="8" w:color="CCEEFF"/>
            </w:tcBorders>
            <w:shd w:val="clear" w:color="auto" w:fill="CCEEFF"/>
          </w:tcPr>
          <w:p>
            <w:pPr>
              <w:spacing w:after="0"/>
              <w:rPr>
                <w:sz w:val="14"/>
                <w:szCs w:val="14"/>
                <w:color w:val="auto"/>
              </w:rPr>
            </w:pPr>
          </w:p>
        </w:tc>
      </w:tr>
      <w:tr>
        <w:trPr>
          <w:trHeight w:val="171"/>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Hing C. Wong, Chief Executive Officer*</w:t>
            </w:r>
          </w:p>
        </w:tc>
        <w:tc>
          <w:tcPr>
            <w:tcW w:w="1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18,483</w:t>
            </w:r>
          </w:p>
        </w:tc>
        <w:tc>
          <w:tcPr>
            <w:tcW w:w="50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1,035,003.20</w:t>
            </w:r>
          </w:p>
        </w:tc>
        <w:tc>
          <w:tcPr>
            <w:tcW w:w="80" w:type="dxa"/>
            <w:vAlign w:val="bottom"/>
          </w:tcPr>
          <w:p>
            <w:pPr>
              <w:spacing w:after="0"/>
              <w:rPr>
                <w:sz w:val="14"/>
                <w:szCs w:val="14"/>
                <w:color w:val="auto"/>
              </w:rPr>
            </w:pPr>
          </w:p>
        </w:tc>
      </w:tr>
      <w:tr>
        <w:trPr>
          <w:trHeight w:val="171"/>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Scott Garrett, Chairman of the Board</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5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200,001.20</w:t>
            </w:r>
          </w:p>
        </w:tc>
        <w:tc>
          <w:tcPr>
            <w:tcW w:w="80" w:type="dxa"/>
            <w:vAlign w:val="bottom"/>
            <w:shd w:val="clear" w:color="auto" w:fill="CCEEFF"/>
          </w:tcPr>
          <w:p>
            <w:pPr>
              <w:spacing w:after="0"/>
              <w:rPr>
                <w:sz w:val="14"/>
                <w:szCs w:val="14"/>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Beneficial owner of more than 5% of the Common Stock</w:t>
      </w:r>
    </w:p>
    <w:p>
      <w:pPr>
        <w:spacing w:after="0" w:line="1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shares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Secured Note Financing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As of October 31, 2024, we received approximately $6.9 million from the issuance of senior secured notes to certain accredited investors (the “Secured Notes”). Of the total issuance of Secured Notes, the Company issued $2.9 million to members of the Company’s board of directors and officers, including $2.4 million purchased by Dr. Hing C. Wong, Founder and CEO, $220,000 purchased by Rebecca Byam, Chief Financial Officer, $140,000 purchased by Scott T. Garrett, Chairman of the board of directors, $60,000 purchased by Gary M. Winer, a former member of the board of directors, $25,000 purchased by Lee Flowers, Senior Vice President for Business Development, and $25,000 purchased by Rick S. Greene, member of the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aggregate principal amounts of Secured Notes purchased by our directors, executive officers, and beneficial owners of more than 5% of Common Stock at par.</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 Principal</w:t>
            </w:r>
          </w:p>
        </w:tc>
      </w:tr>
      <w:tr>
        <w:trPr>
          <w:trHeight w:val="187"/>
        </w:trPr>
        <w:tc>
          <w:tcPr>
            <w:tcW w:w="7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Secured Notes</w:t>
            </w:r>
          </w:p>
        </w:tc>
      </w:tr>
      <w:tr>
        <w:trPr>
          <w:trHeight w:val="162"/>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Hing C. Wong, Chief Executive Officer*</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2,405,000</w:t>
            </w:r>
          </w:p>
        </w:tc>
        <w:tc>
          <w:tcPr>
            <w:tcW w:w="80" w:type="dxa"/>
            <w:vAlign w:val="bottom"/>
            <w:tcBorders>
              <w:top w:val="single" w:sz="8" w:color="CCEEFF"/>
            </w:tcBorders>
            <w:shd w:val="clear" w:color="auto" w:fill="CCEEFF"/>
          </w:tcPr>
          <w:p>
            <w:pPr>
              <w:spacing w:after="0"/>
              <w:rPr>
                <w:sz w:val="14"/>
                <w:szCs w:val="14"/>
                <w:color w:val="auto"/>
              </w:rPr>
            </w:pPr>
          </w:p>
        </w:tc>
      </w:tr>
      <w:tr>
        <w:trPr>
          <w:trHeight w:val="171"/>
        </w:trPr>
        <w:tc>
          <w:tcPr>
            <w:tcW w:w="7040" w:type="dxa"/>
            <w:vAlign w:val="bottom"/>
          </w:tcPr>
          <w:p>
            <w:pPr>
              <w:spacing w:after="0"/>
              <w:rPr>
                <w:sz w:val="20"/>
                <w:szCs w:val="20"/>
                <w:color w:val="auto"/>
              </w:rPr>
            </w:pPr>
            <w:r>
              <w:rPr>
                <w:rFonts w:ascii="Times New Roman" w:cs="Times New Roman" w:eastAsia="Times New Roman" w:hAnsi="Times New Roman"/>
                <w:sz w:val="14"/>
                <w:szCs w:val="14"/>
                <w:color w:val="auto"/>
              </w:rPr>
              <w:t>Rebecca Byam, Chief Financial Officer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80" w:type="dxa"/>
            <w:vAlign w:val="bottom"/>
          </w:tcPr>
          <w:p>
            <w:pPr>
              <w:spacing w:after="0"/>
              <w:rPr>
                <w:sz w:val="14"/>
                <w:szCs w:val="14"/>
                <w:color w:val="auto"/>
              </w:rPr>
            </w:pPr>
          </w:p>
        </w:tc>
      </w:tr>
      <w:tr>
        <w:trPr>
          <w:trHeight w:val="17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Scott T. Garrett, Chairman of the board of directors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80" w:type="dxa"/>
            <w:vAlign w:val="bottom"/>
            <w:shd w:val="clear" w:color="auto" w:fill="CCEEFF"/>
          </w:tcPr>
          <w:p>
            <w:pPr>
              <w:spacing w:after="0"/>
              <w:rPr>
                <w:sz w:val="14"/>
                <w:szCs w:val="14"/>
                <w:color w:val="auto"/>
              </w:rPr>
            </w:pPr>
          </w:p>
        </w:tc>
      </w:tr>
      <w:tr>
        <w:trPr>
          <w:trHeight w:val="171"/>
        </w:trPr>
        <w:tc>
          <w:tcPr>
            <w:tcW w:w="7040" w:type="dxa"/>
            <w:vAlign w:val="bottom"/>
          </w:tcPr>
          <w:p>
            <w:pPr>
              <w:spacing w:after="0"/>
              <w:rPr>
                <w:sz w:val="20"/>
                <w:szCs w:val="20"/>
                <w:color w:val="auto"/>
              </w:rPr>
            </w:pPr>
            <w:r>
              <w:rPr>
                <w:rFonts w:ascii="Times New Roman" w:cs="Times New Roman" w:eastAsia="Times New Roman" w:hAnsi="Times New Roman"/>
                <w:sz w:val="14"/>
                <w:szCs w:val="14"/>
                <w:color w:val="auto"/>
              </w:rPr>
              <w:t>Gary M. Winer, Former Director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tcPr>
          <w:p>
            <w:pPr>
              <w:spacing w:after="0"/>
              <w:rPr>
                <w:sz w:val="14"/>
                <w:szCs w:val="14"/>
                <w:color w:val="auto"/>
              </w:rPr>
            </w:pPr>
          </w:p>
        </w:tc>
      </w:tr>
      <w:tr>
        <w:trPr>
          <w:trHeight w:val="17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Lee Flowers, Senior Vice President for</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7040" w:type="dxa"/>
            <w:vAlign w:val="bottom"/>
          </w:tcPr>
          <w:p>
            <w:pPr>
              <w:spacing w:after="0"/>
              <w:rPr>
                <w:sz w:val="20"/>
                <w:szCs w:val="20"/>
                <w:color w:val="auto"/>
              </w:rPr>
            </w:pPr>
            <w:r>
              <w:rPr>
                <w:rFonts w:ascii="Times New Roman" w:cs="Times New Roman" w:eastAsia="Times New Roman" w:hAnsi="Times New Roman"/>
                <w:sz w:val="14"/>
                <w:szCs w:val="14"/>
                <w:color w:val="auto"/>
              </w:rPr>
              <w:t>Business Development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4"/>
                <w:szCs w:val="14"/>
                <w:color w:val="auto"/>
              </w:rPr>
            </w:pPr>
          </w:p>
        </w:tc>
      </w:tr>
      <w:tr>
        <w:trPr>
          <w:trHeight w:val="17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Rick S. Greene, Director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4"/>
                <w:szCs w:val="14"/>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Beneficial owner of more than 5% of our Common Stock</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Senior Notes bear interest at a rate of 9% per annum, payable quarterly in arrears, and mature on March 27, 2026 (the “Maturity Date”), on which date the principal balance and accrued but unpaid interest under the Secured Notes shall be due and payable. The Secured Notes may be prepaid in whole or in part at any time prior to the Maturity Date and are subject to a 5% prepayment penalty (“Premium Amount”). The Secured Notes are secured by the pledge of our equity ownership interest in Wugen, (the “Pledged Collateral”). Upon a qualifying event involving a transaction such as an acquisition, merger or initial public offering in which the Pledged Collateral can be sold or liquidated prior to the Maturity Date, subject to certain limitations (such as a threshold price per share in the case of an initial public offering), we have agreed to repay all indebtedness (including accrued interest) related to the Secured Notes plus a Premium Amount. Upon an Event of Default (as defined in the Note Purchase Agreement), we will have a thirty (30) day cure period (the “Cure Period”), and if the Event of Default is not so cured at the end of the Cure Period, we are required to distribute the Pledged Collateral to the Purchasers on a pro rata basis, in full satisfaction of the indebtedness evidenced by the Secured Notes.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4" w:name="page25"/>
    <w:bookmarkEnd w:id="24"/>
    <w:p>
      <w:pPr>
        <w:jc w:val="both"/>
        <w:spacing w:after="0" w:line="290" w:lineRule="auto"/>
        <w:rPr>
          <w:sz w:val="20"/>
          <w:szCs w:val="20"/>
          <w:color w:val="auto"/>
        </w:rPr>
      </w:pPr>
      <w:r>
        <w:rPr>
          <w:rFonts w:ascii="Times New Roman" w:cs="Times New Roman" w:eastAsia="Times New Roman" w:hAnsi="Times New Roman"/>
          <w:sz w:val="14"/>
          <w:szCs w:val="14"/>
          <w:color w:val="auto"/>
        </w:rPr>
        <w:t>The Pledged Collateral has not been registered and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holders of $6.6 million of the outstanding principal of the Secured Notes, including officers, directors and other significant stockholders, agreed to and effected the conversion of the Secured Notes held by them into shares of the Company’s Common Stock at a conversion price of $26.00 per share, warrants to purchase approximately $3.3 million of the Company’s Common Stock at an exercise price of $26.00 per share, and the right to their pro rata share of 49.11% of the proceeds of the Company’s shares of Wugen common stock (“Wugen Shares”), if and when such shares are ever sold (the “Wugen Proceeds”). The conversion was approved at a Special Meeting of Stockholders held on March 31, 2025 and was effected pursuant to the terms of that certain Second Amendment to Amended and Restated Senior Secured Note Purchase Agreement and Related Agreements dated as of May 1, 2025 (the “Conversion Amendment”). On May 7, 2025, pursuant to the Conversion Amendment, the Secured Notes held by the participating noteholders were cancelled, and the Company issued a total of 253,083 unregistered shares of Common Stock (which are subject to a 180-day lock-up) and warrants to purchase an additional 126,542 shares of Common Stock at an exercise price of $26.00 per share. On January 29, 2026, the SEC declared effective a resale registration statement on Form S-1 (File Number 333-292652) covering the resale of shares of Common Stock and warrants issued to such note 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Convertible Bridge Notes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of May 5, 2025, the Company issued a total of $270,000 principal amount of unsecured convertible promissory notes that mature on May 5, 2026 with paid in kind interest accruing thereon, payable quarterly in arrears at 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Wugen common stock, if and when such shares are ever sold, determined by the number of the Wugen shares equal to 0.25 multiplied by the original principal amount, in dollars, of the Convertible Bridge Notes. Investors included: $60,000 invested by Hing C. Wong, the Company’s Founder and CEO; $100,000 invested by Scott T. Garrett, the Chairman of the Company’s Board of Directors; and $10,000 invested by Gary M. Winer, who was a member of the Company’s Board of Directors at the time of his investment.</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May 15, 2025, the outstanding principle of Convertible Bridge Notes were converted. The fair value of consideration transferred, including 36,242 shares of Common Stock and rights to proceeds of a portion of the Company’s shares of Wugen common stock, was $401,134, with the difference of $131,135 being recognized as a loss on conversion. Due to the related party nature of the converting noteholders, the loss was recorded as additional paid-in capital in the Company’s audited financial statements, incorporated by reference 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 Grants to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granted stock options to our named executive officers as more fully described in the section entitled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Review, Approval or Ratification of Transactions with Related Parties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written related party transactions policy states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of our audit committee.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for review, consideration and approval. In approving or rejecting any such proposal, our audit committee considers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is a description of our securities of as set forth in certain provisions of our Second Amended and Restated Certificate of Incorporation (the “Charter”) and our Amended and Restated Bylaws (the “Bylaws”), and applicable forms of warrant, each previously filed with the SEC and incorporated by reference as an exhibit to this registration statement of which this prospectus forms a part. This summary does not purport to be complete and is qualified in its entirety by the full text of the Charter, Bylaws, applicable forms of warrant, and the applicable provisions of the Delaware General Corporation Law (the “DGCL”). We encourage you to read our Charter, Bylaws, applicable forms of warrant, and the applicable portions of the DGCL carefully.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Charter authorizes the issuance of an aggregate of 250 million shares of Common Stock, $0.0001 par value per share and 10 million shares of preferred stock, $0.0001 par value per share. Our purpose is to engage in any lawful act or activity for which corporations may be organized under the DGCL. Unless our board of directors determines otherwise, we will issue all shares of our capital stock in uncertificated form.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 2026, HCWB had 7,161,150 shares of its Common Stock issued and outstanding and 0 shares of preferred stock issued and outstanding.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redeemable preferred stock, holders of Common Stock are entitled to receive dividends, if any, as may be declared from time to time by the board of directors out of legally available funds.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after taking into account various factors, including our financial condition, operating results, current and anticipated cash needs, the requirements of current or then- existing debt instruments and other factors the Board deems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Rights upon Liquidation, Dissolution and Winding-Up</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redeemable preferred stock.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color w:val="auto"/>
        </w:rPr>
        <w:t>Preemptive or Other Rights</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redeemable preferred stock that we may designate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Reverse Stock Split</w:t>
      </w:r>
    </w:p>
    <w:p>
      <w:pPr>
        <w:spacing w:after="0" w:line="183"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On March 26, 2026, the Company received a written notice from the Nasdaq Listing Qualifications Staff (the “Staff”) indicating that the Company was not in compliance with the minimum bid price requirement for continued listing set forth in Nasdaq Listing Rule 5810(c)(3)(A), which requires listed securities to maintain a minimum bid price of $1.00 per share. In accordance with Nasdaq rules, because the Company effected a reverse stock split in April 2025, the Company was not eligible for a 180-calendar day compliance period to regain compliance with the bid price requirement.</w:t>
      </w:r>
    </w:p>
    <w:p>
      <w:pPr>
        <w:spacing w:after="0" w:line="141" w:lineRule="exact"/>
        <w:rPr>
          <w:sz w:val="20"/>
          <w:szCs w:val="20"/>
          <w:color w:val="auto"/>
        </w:rPr>
      </w:pPr>
    </w:p>
    <w:p>
      <w:pPr>
        <w:jc w:val="both"/>
        <w:ind w:firstLine="513"/>
        <w:spacing w:after="0" w:line="290" w:lineRule="auto"/>
        <w:rPr>
          <w:sz w:val="20"/>
          <w:szCs w:val="20"/>
          <w:color w:val="auto"/>
        </w:rPr>
      </w:pPr>
      <w:r>
        <w:rPr>
          <w:rFonts w:ascii="Times New Roman" w:cs="Times New Roman" w:eastAsia="Times New Roman" w:hAnsi="Times New Roman"/>
          <w:sz w:val="14"/>
          <w:szCs w:val="14"/>
          <w:color w:val="auto"/>
        </w:rPr>
        <w:t>The Company timely requested a hearing before a Nasdaq Hearings Panel (the “Panel”) to appeal this determination, which request stayed any delisting or suspension action pending the outcome of the hearing process. The hearing was held on May 5, 2026.</w:t>
      </w:r>
    </w:p>
    <w:p>
      <w:pPr>
        <w:spacing w:after="0" w:line="124"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On May 29, 2026, the Panel issued a decision granting the Company an exception to regain compliance with the Bid Price Rule, subject to certain conditions. As set forth in the decision, the Company must demonstrate compliance with the Bid Price Rule by maintaining a closing bid price of at least $1.00 per share for a minimum of 20 consecutive trading days on or before July 29, 2026. The Company stock price as of June 3, 2026 was $1.68 per share. However, the Company is prepared to effect a reverse stock split on or about June 30, 2026 if necessary to maintain compliance with the Bid Price Rule.</w:t>
      </w:r>
    </w:p>
    <w:p>
      <w:pPr>
        <w:spacing w:after="0" w:line="141" w:lineRule="exact"/>
        <w:rPr>
          <w:sz w:val="20"/>
          <w:szCs w:val="20"/>
          <w:color w:val="auto"/>
        </w:rPr>
      </w:pPr>
    </w:p>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In addition, the Company is subject to certain ongoing requirements and monitoring by the Panel, including a discretionary panel monitor period through September 22, 2026, during which the Company must maintain compliance with Nasdaq continued listing requirements. Per the Panel’s decision letter, if the Company again becomes deficient with the Bid Price Rule prior to September 22, 2026, the Company will be immediately delisted.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83" w:lineRule="exact"/>
        <w:rPr>
          <w:sz w:val="20"/>
          <w:szCs w:val="20"/>
          <w:color w:val="auto"/>
        </w:rPr>
      </w:pPr>
    </w:p>
    <w:p>
      <w:pPr>
        <w:jc w:val="both"/>
        <w:ind w:firstLine="513"/>
        <w:spacing w:after="0" w:line="260" w:lineRule="auto"/>
        <w:rPr>
          <w:sz w:val="20"/>
          <w:szCs w:val="20"/>
          <w:color w:val="auto"/>
        </w:rPr>
      </w:pPr>
      <w:r>
        <w:rPr>
          <w:rFonts w:ascii="Times New Roman" w:cs="Times New Roman" w:eastAsia="Times New Roman" w:hAnsi="Times New Roman"/>
          <w:sz w:val="14"/>
          <w:szCs w:val="14"/>
          <w:color w:val="auto"/>
        </w:rPr>
        <w:t>On May 22, 2026, in connection with the PIPE Transaction, we issued common stock purchase warrants to purchase an aggregate of up to 2,846,975 shares of our Common Stock (the “May 2026 Common Warrants”). The May 2026 Common Warrants were issued together with shares of Common Stock or, in lieu thereof, pre-funded warrants, as part of units sold to investors in the PIPE Transaction. The May 2026 Common Warrants are exercisable immediately upon issuance at an exercise price of $1.28 per share and expire on the date that is five and one-half years from the date of issuance. The May 2026 Common Warrants may be exercised for cash or, subject to certain conditions set forth therein, on a cashless basis. The exercise of the May 2026 Common Warrants is subject to customary adjustments for stock splits, stock dividends, recapitalizations and similar events. The May 2026 Common Warrants are subject to beneficial ownership limitations that generally prohibit the holder from exercising the May 2026 Common Warrants to the extent that, after giving effect to such exercise, the holder would beneficially own more than 4.99% (or, at the holder’s election, up to 9.99%) of the number of shares of our Common Stock outstanding immediately after giving effect to such exercise, which limitation may be increased or decreased by the holder upon prior notice, subject to a 61-day effectiveness period for any increase.</w:t>
      </w:r>
    </w:p>
    <w:p>
      <w:pPr>
        <w:spacing w:after="0" w:line="144" w:lineRule="exact"/>
        <w:rPr>
          <w:sz w:val="20"/>
          <w:szCs w:val="20"/>
          <w:color w:val="auto"/>
        </w:rPr>
      </w:pPr>
    </w:p>
    <w:p>
      <w:pPr>
        <w:jc w:val="both"/>
        <w:ind w:firstLine="513"/>
        <w:spacing w:after="0" w:line="259" w:lineRule="auto"/>
        <w:rPr>
          <w:sz w:val="20"/>
          <w:szCs w:val="20"/>
          <w:color w:val="auto"/>
        </w:rPr>
      </w:pPr>
      <w:r>
        <w:rPr>
          <w:rFonts w:ascii="Times New Roman" w:cs="Times New Roman" w:eastAsia="Times New Roman" w:hAnsi="Times New Roman"/>
          <w:sz w:val="14"/>
          <w:szCs w:val="14"/>
          <w:color w:val="auto"/>
        </w:rPr>
        <w:t>On February 19, 2026, we sold 2,477,292 units at a purchase price of $0.6054 per unit, each consisting of one pre-funded warrant that may be exercised for one share of Common Stock and one accompanying warrant with an exercise price of $0.6055 per share (“February 2026 Common Stock Warrants”). On March 16, 2026, the pre-funded warrants were exercised and the Company issued 2,477,292 shares of Common Stock. The warrants to exercise up to 2,477,292 shares of Common Stock for $0.6055 per share become exercisable upon receipt of stockholder approval in accordance with applicable Nasdaq rules, and expire on the five-year anniversary of such approval. In a private transaction on February 19, 2026, we agreed, subject to stockholder approval, to reduce the exercise price of existing warrants to purchase up to 3,020,410 shares of our Common Stock (the “Inducement Warrants”), which were issued in November 2025 in connection with a warrant inducement transaction with an existing investor, from $2.41 per share to $0.0655 per share. The exercisability of the February 2026 Common Stock Warrants and the effectiveness of the repricing of the Inducement Warrants are each subject to stockholder approval. We filed a definitive proxy statement on March 13, 2026 for a special meeting of stockholders to be held on April 27, 2026 to seek such approval, however, the meeting was adjourned due to lack of quorum. The proposals related to the Common Stock Warrants and Inducement Warrants were included in the definitive proxy statement for the Annual Meeting of Stockholders to be held on June 15, 2026. The Company is obliged to seek stockholder approval every 60 days, until such approval is obtained.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Pre-Funded Warrants</w:t>
      </w:r>
    </w:p>
    <w:p>
      <w:pPr>
        <w:spacing w:after="0" w:line="185" w:lineRule="exact"/>
        <w:rPr>
          <w:sz w:val="20"/>
          <w:szCs w:val="20"/>
          <w:color w:val="auto"/>
        </w:rPr>
      </w:pPr>
    </w:p>
    <w:p>
      <w:pPr>
        <w:jc w:val="both"/>
        <w:ind w:firstLine="513"/>
        <w:spacing w:after="0" w:line="290" w:lineRule="auto"/>
        <w:rPr>
          <w:sz w:val="20"/>
          <w:szCs w:val="20"/>
          <w:color w:val="auto"/>
        </w:rPr>
      </w:pPr>
      <w:r>
        <w:rPr>
          <w:rFonts w:ascii="Times New Roman" w:cs="Times New Roman" w:eastAsia="Times New Roman" w:hAnsi="Times New Roman"/>
          <w:sz w:val="14"/>
          <w:szCs w:val="14"/>
          <w:color w:val="auto"/>
        </w:rPr>
        <w:t>On May 22, 2026, in connection with the PIPE Transaction, we issued pre-funded warrants to purchase an aggregate of up to 2,419,929 shares of our Common Stock (the “Pre-Funded Warrants”).</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Exercisability. </w:t>
      </w:r>
      <w:r>
        <w:rPr>
          <w:rFonts w:ascii="Times New Roman" w:cs="Times New Roman" w:eastAsia="Times New Roman" w:hAnsi="Times New Roman"/>
          <w:sz w:val="14"/>
          <w:szCs w:val="14"/>
          <w:color w:val="auto"/>
        </w:rPr>
        <w:t>The Pre-Funded Warrants are exercisable at any time after their original issuance date until the Pre-Funded Warrants are exercised in full. The Pre-Funded Warrants are exercisable,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option of each holder, in whole or in part, by delivering to us a duly executed exercise notice accompanied by payment in full for the number of shares of common stock purchased upon such exercise (except in the case of a cashless exercise as discussed below).</w:t>
      </w:r>
    </w:p>
    <w:p>
      <w:pPr>
        <w:spacing w:after="0" w:line="13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i w:val="1"/>
          <w:iCs w:val="1"/>
          <w:color w:val="auto"/>
        </w:rPr>
        <w:t>Exercise Limitation</w:t>
      </w:r>
      <w:r>
        <w:rPr>
          <w:rFonts w:ascii="Times New Roman" w:cs="Times New Roman" w:eastAsia="Times New Roman" w:hAnsi="Times New Roman"/>
          <w:sz w:val="14"/>
          <w:szCs w:val="14"/>
          <w:color w:val="auto"/>
        </w:rPr>
        <w:t>. A holder (together with its affiliates) may not exercise any portion of the Common Stock Warrants to the extent that the holder would own more than 9.99% of the 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immediately after exercise.</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Exercise Price</w:t>
      </w:r>
      <w:r>
        <w:rPr>
          <w:rFonts w:ascii="Times New Roman" w:cs="Times New Roman" w:eastAsia="Times New Roman" w:hAnsi="Times New Roman"/>
          <w:sz w:val="14"/>
          <w:szCs w:val="14"/>
          <w:color w:val="auto"/>
        </w:rPr>
        <w:t>. The exercise price per whole share of our Common Stock purchasable upon the exercise of the Pre-Funded Warrants is $0.0001 per share of Common Stock. The warrants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immediately exercisable and may be exercised at any time until the Pre-Funded Warrants are exercised in full. The exercise price and number of shares of Common Stock issuable upon exercise of the warrants may be adjusted in certain circumstances, including in the event of a stock dividend or recapitalization, reorganization, merger or consolidation.</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Cashless Exercise</w:t>
      </w:r>
      <w:r>
        <w:rPr>
          <w:rFonts w:ascii="Times New Roman" w:cs="Times New Roman" w:eastAsia="Times New Roman" w:hAnsi="Times New Roman"/>
          <w:sz w:val="14"/>
          <w:szCs w:val="14"/>
          <w:color w:val="auto"/>
        </w:rPr>
        <w:t>. If, at any time after the issuance of the Pre-Funded Warrants, a holder of the warrants exercises the warrants and a registration statement registering the issuance of the shares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underlying the warrants under the Securities Act is not then effective or available (or a prospectus is not available for the resale of shares of Common Stock underlying the warrants), then in lieu of making the cash payment otherwise contemplated to be made to us upon such exercise in payment of the aggregate exercise price, the holder shall instead receive upon such exercise (either in whole or in part) only the net number of shares of Common Stock determined according to a formula set forth in the Pre-Funded Warrants.</w:t>
      </w:r>
    </w:p>
    <w:p>
      <w:pPr>
        <w:spacing w:after="0" w:line="1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Fractional Shares</w:t>
      </w:r>
      <w:r>
        <w:rPr>
          <w:rFonts w:ascii="Times New Roman" w:cs="Times New Roman" w:eastAsia="Times New Roman" w:hAnsi="Times New Roman"/>
          <w:sz w:val="14"/>
          <w:szCs w:val="14"/>
          <w:color w:val="auto"/>
        </w:rPr>
        <w:t>. No fractional shares of Common Stock will be issued upon exercise of the warrants. If, upon exercise of a Common Stock Warrant, the holder would be entitled to receive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fractional interest in a share, we will, in our discretion and upon exercise, either pay a cash adjustment in respect of such final fraction in an amount equal to such fraction multiplied by the exercise price or round up to the next whole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Subject to applicable laws, the Pre-Funded Warrants may be offered for sale, sold, transferred or assigned at the option of the holder without our consent.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Fundamental Transactions</w:t>
      </w:r>
      <w:r>
        <w:rPr>
          <w:rFonts w:ascii="Times New Roman" w:cs="Times New Roman" w:eastAsia="Times New Roman" w:hAnsi="Times New Roman"/>
          <w:sz w:val="14"/>
          <w:szCs w:val="14"/>
          <w:color w:val="auto"/>
        </w:rPr>
        <w:t>. In the event of a “fundamental transaction,” as described in the Pre-Funded Warrants and generally including any reorganization, recapitalization or reclassification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8" w:name="page29"/>
    <w:bookmarkEnd w:id="28"/>
    <w:p>
      <w:pPr>
        <w:jc w:val="both"/>
        <w:spacing w:after="0" w:line="293" w:lineRule="auto"/>
        <w:rPr>
          <w:sz w:val="20"/>
          <w:szCs w:val="20"/>
          <w:color w:val="auto"/>
        </w:rPr>
      </w:pPr>
      <w:r>
        <w:rPr>
          <w:rFonts w:ascii="Times New Roman" w:cs="Times New Roman" w:eastAsia="Times New Roman" w:hAnsi="Times New Roman"/>
          <w:sz w:val="14"/>
          <w:szCs w:val="14"/>
          <w:i w:val="1"/>
          <w:iCs w:val="1"/>
          <w:color w:val="auto"/>
        </w:rPr>
        <w:t>Rights as a Stockholder</w:t>
      </w:r>
      <w:r>
        <w:rPr>
          <w:rFonts w:ascii="Times New Roman" w:cs="Times New Roman" w:eastAsia="Times New Roman" w:hAnsi="Times New Roman"/>
          <w:sz w:val="14"/>
          <w:szCs w:val="14"/>
          <w:color w:val="auto"/>
        </w:rPr>
        <w:t>. Except by virtue of such holder’s ownership of shares of our Common Stock, the holder of a Pre-Funded Warrant does not have the rights or privileges of a holder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including any voting rights, until the holder exercises the warrant.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Transfer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will continue to be Equiniti Trust Company,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but Unissued Capital Stock</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shares that are authorized and available for issuance. However, the listing requirements of Nasdaq require stockholder approval of certain issuances equal to or exceeding 20% of the then-outstanding voting power or the then-outstanding number of shares of Common Stock. These additional shares may be used for a variety of corporate purposes, including future public offerings, to raise additional capital or to facilitate acquisitions. Additionally, the number of authorized shares of any series of Common Stock or preferred stock may be increased or decreased (but not below the number of shares thereof outstanding) by the affirmative vote of the holders of a majority in voting power, irrespective of the provisions of Section 242(b)(2) of the DGCL.</w:t>
      </w:r>
    </w:p>
    <w:p>
      <w:pPr>
        <w:spacing w:after="0" w:line="1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HCWB Board may generally issue shares of one or more series of preferred stock on terms designed to discourage, delay or prevent a change of control of HCWB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shares of Common Stock or preferred stock may be to enable HCWB’s board of directors to issue shares to persons friendly to current management, which issuance could render more difficult or discourage an attempt to obtain control of HCWB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Vacancies and Newly Created Directorships</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Charter provides that, subject to the rights granted to one or more series of preferred stock then outstanding, any newly-created directorship on the board of directors that results from an increase in the number of directors and any vacancies on our board of directors will be filled solely only by the affirmative vote of a majority of the remaining directors, even if less than a quorum, by a sole remaining director or by the stockholders.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Charter provides that special meetings of our stockholders may be called at any time only by the board of directors acting pursuant to a resolution approved by the affirmative vote of a majority of the directors then in office, subject to the rights of holders of any series of preferred stock then outstanding.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of a Delaware corporation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Subject to applicable law and the rights, if any, of the holders of any outstanding series of preferred stock or any other outstanding class or series of stock of HCWB, the Charter does not permit our holders of Common Stock to act by consent in writing.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HCWB will be subject to the provisions of Section 203 of the DGCL, which we refer to as “Section 203”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37" w:lineRule="exact"/>
        <w:rPr>
          <w:sz w:val="20"/>
          <w:szCs w:val="20"/>
          <w:color w:val="auto"/>
        </w:rPr>
      </w:pPr>
    </w:p>
    <w:p>
      <w:pPr>
        <w:ind w:left="780" w:hanging="261"/>
        <w:spacing w:after="0" w:line="290" w:lineRule="auto"/>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date of the transaction, HCWB’s board of directors approved either the business combination or the transaction that resulted in the stockholder becoming an interested stockholder;</w:t>
      </w:r>
    </w:p>
    <w:p>
      <w:pPr>
        <w:spacing w:after="0" w:line="124" w:lineRule="exact"/>
        <w:rPr>
          <w:rFonts w:ascii="Times New Roman" w:cs="Times New Roman" w:eastAsia="Times New Roman" w:hAnsi="Times New Roman"/>
          <w:sz w:val="14"/>
          <w:szCs w:val="14"/>
          <w:color w:val="auto"/>
        </w:rPr>
      </w:pPr>
    </w:p>
    <w:p>
      <w:pPr>
        <w:jc w:val="both"/>
        <w:ind w:left="780" w:hanging="261"/>
        <w:spacing w:after="0" w:line="266" w:lineRule="auto"/>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41" w:lineRule="exact"/>
        <w:rPr>
          <w:rFonts w:ascii="Times New Roman" w:cs="Times New Roman" w:eastAsia="Times New Roman" w:hAnsi="Times New Roman"/>
          <w:sz w:val="14"/>
          <w:szCs w:val="14"/>
          <w:color w:val="auto"/>
        </w:rPr>
      </w:pPr>
    </w:p>
    <w:p>
      <w:pPr>
        <w:ind w:left="780" w:hanging="261"/>
        <w:spacing w:after="0" w:line="290" w:lineRule="auto"/>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date of the transaction, the business combination is approved by HCWB’s board of directors and authorized at an annual or special meeting of stockholders, and not by written consent, by the affirmative vote of at least two-thirds of the outstanding voting stock that is not owned by the interested stockholder.</w:t>
      </w:r>
    </w:p>
    <w:p>
      <w:pPr>
        <w:spacing w:after="0" w:line="12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provisions of Delaware law and the provisions of the Charter and HCWB’s Bylaws could have the effect of discouraging others from attempting hostile takeovers and as a consequence, they might also inhibit temporary fluctuations in the market price of Common Stock that often result from actual or rumored hostile takeover attempts. These provisions might also have the effect of preventing changes in HCWB’s management. It is also possible that these provisions could make it more difficult to accomplish transactions that stockholders might otherwise deem to be in their best interests.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Court of Chancery of the State of Delaware, plus interest, if any, on the amount determined to be the fair value, from the effective time of the merger or consolidation through the date of payment of the judgment.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Exclusive Forum for Certain Lawsuits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HCWB’s directors and officers, although our stockholders will not be deemed to have waived our compliance with federal securities laws and the rules and regulations thereunder.</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to corporations and their stockholders for monetary damages for breaches of directors’ fiduciary duties, subject to certain exceptions. The Charter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limitation of liability provision in the Charter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currently no pending material litigation or proceeding involving any of our directors, officers or employees for which indemnification is sought.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Common Stock of HCWB is listed on Nasdaq under the symbol “HCWB”.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SECURITIES ACT RESTRICTIONS ON RESALE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Pursuant to Rule 144 under the Securities Act (“Rule 144”), a person who has beneficially owned restricted shares of Common Stock of HCWB for at least six months would be entitled to sell their securities provided that (i) such person is not deemed to have been an affiliate of HCWB at the time of, or at any time during the three months preceding, a sale and (ii) HCWB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Persons who have beneficially owned restricted shares of Common Stock of HCWB for at least six months but who are affiliates of HCWB at the time of, or at any time during the three months preceding, a sale would be subject to additional restrictions, by which such person would be entitled to sell within any three-month period only a number of securities that does not exceed the average weekly reported trading volume of Common Stock during the four calendar weeks preceding the filing of a notice on Form 144 with respect to the sale.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by affiliates of HCWB under Rule 144 are also limited by manner of sale provisions and notice requirements and by the availability of current public information about HCWB.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shares of Common Stock listed in the table appearing under “Selling Stockholders” are being registered to permit the resale of Common Stock issued or issuable upon the exercise of Pre-Funded Warrants or the May 2026 Common Stock Warrants by the selling stockholders from time to time after the date of this prospectus. There can be no assurance that the selling stockholders will sell any or all of the Common Stock offered hereby. We will not receive any of the proceeds from the sale of the Common Stock by the selling stockholders.</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selling stockholders may sell all or a portion of the Common Stock offered hereby from time to time directly to purchasers or through one or more underwriters, broker-dealers or agents, at either market prices prevailing at the time of sale or at privately negotiated prices (but not at a fixed price), by a variety of methods including the following:</w:t>
      </w:r>
    </w:p>
    <w:p>
      <w:pPr>
        <w:spacing w:after="0" w:line="124" w:lineRule="exact"/>
        <w:rPr>
          <w:sz w:val="20"/>
          <w:szCs w:val="20"/>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over-the-counter market on which the Common Stock may be listed or quoted at the time of sale;</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a broker-dealer may attempt to sell the shares as agent but may position and resell a portion of the block as principal to facilitate the transaction;</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a subsequent resale by the broker-dealer for its account;</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negotiation transactions;</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otherwise than on such exchanges or in the over-the-counter market;</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 or</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under applicable law.</w:t>
      </w:r>
    </w:p>
    <w:p>
      <w:pPr>
        <w:spacing w:after="0" w:line="1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will pay the reasonable expenses incident to the registration of the Common Stock offered hereby. We have agreed to indemnify the selling stockholders and certain other persons against certain liabilities in connection with the offering of shares offered hereby, including liabilities arising under the Securities Act or if such indemnity is unavailable, to contribute amounts required to be paid in respect of such liabilities.</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securities registered hereunder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has informed us that it does not have any written or oral agreement or understanding, directly or indirectly, with any person to distribute the securities.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advised the selling stockholders that it is required to comply with Regulation M promulgated under the Exchange Act. With certain exceptions, Regulation M precludes a selling stockholders,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validity of the securities offered hereby will be passed upon by Clark Hill PLC, Chicago, Illinois and Los Angeles, California.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10-K for the year ended December 31, 2025, has been so incorporated in reliance on the report of Crowe LLP, independent registered public accounting firm, given on the authority of said firm as experts in auditing and accounting.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In accordance with the Exchange Act, we file periodic reports, proxy and information statements and other information with the SEC. Our filings with the SEC are available to the public over the Internet at the SEC’s website at www.sec.gov. You may also find documents we filed on our website at www.hcwbiologics.com. Information contained in or accessible through our website does not constitute a part of this prospectus and is not incorporated by reference herein.</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those publicly available documents. The information that we incorporate by reference in this prospectus is considered to be part of this prospectus.</w:t>
      </w:r>
    </w:p>
    <w:p>
      <w:pPr>
        <w:spacing w:after="0" w:line="12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We incorporate by reference into this prospectus and the registration statement of which this prospectus is a part the information or documents listed below (except in each case the information contained in such document to the extent “furnished” and not “filed”) that we have filed with the SEC:</w:t>
      </w:r>
    </w:p>
    <w:p>
      <w:pPr>
        <w:spacing w:after="0" w:line="124" w:lineRule="exact"/>
        <w:rPr>
          <w:sz w:val="20"/>
          <w:szCs w:val="20"/>
          <w:color w:val="auto"/>
        </w:rPr>
      </w:pPr>
    </w:p>
    <w:p>
      <w:pPr>
        <w:ind w:left="1040" w:hanging="521"/>
        <w:spacing w:after="0" w:line="290" w:lineRule="auto"/>
        <w:tabs>
          <w:tab w:leader="none" w:pos="1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as filed with the SEC on March 31, 2026, and our Quarterly Report on </w:t>
      </w:r>
      <w:hyperlink r:id="rId47">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three months ended March 31, 2026, as filed with the SEC on May 14, 2026;</w:t>
      </w:r>
    </w:p>
    <w:p>
      <w:pPr>
        <w:spacing w:after="0" w:line="124"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Proxy Statement on </w:t>
      </w:r>
      <w:hyperlink r:id="rId48">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our Annual Meeting of Stockholders filed with the SEC on April 28, 2026;</w:t>
      </w:r>
    </w:p>
    <w:p>
      <w:pPr>
        <w:spacing w:after="0" w:line="181" w:lineRule="exact"/>
        <w:rPr>
          <w:rFonts w:ascii="Times New Roman" w:cs="Times New Roman" w:eastAsia="Times New Roman" w:hAnsi="Times New Roman"/>
          <w:sz w:val="14"/>
          <w:szCs w:val="14"/>
          <w:color w:val="auto"/>
        </w:rPr>
      </w:pPr>
    </w:p>
    <w:p>
      <w:pPr>
        <w:ind w:left="1040" w:hanging="521"/>
        <w:spacing w:after="0" w:line="290" w:lineRule="auto"/>
        <w:tabs>
          <w:tab w:leader="none" w:pos="1040" w:val="left"/>
        </w:tabs>
        <w:numPr>
          <w:ilvl w:val="0"/>
          <w:numId w:val="20"/>
        </w:numPr>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auto"/>
          </w:rPr>
          <w:t xml:space="preserve">Current Reports on Form 8-K filed with the SEC on </w:t>
        </w:r>
        <w:r>
          <w:rPr>
            <w:rFonts w:ascii="Times New Roman" w:cs="Times New Roman" w:eastAsia="Times New Roman" w:hAnsi="Times New Roman"/>
            <w:sz w:val="14"/>
            <w:szCs w:val="14"/>
            <w:u w:val="single" w:color="auto"/>
            <w:color w:val="0000EE"/>
          </w:rPr>
          <w:t>February 13,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19,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31,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16,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30,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30, 2026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0">
        <w:r>
          <w:rPr>
            <w:rFonts w:ascii="Times New Roman" w:cs="Times New Roman" w:eastAsia="Times New Roman" w:hAnsi="Times New Roman"/>
            <w:sz w:val="14"/>
            <w:szCs w:val="14"/>
            <w:u w:val="single" w:color="auto"/>
            <w:color w:val="0000EE"/>
          </w:rPr>
          <w:t>May 14, 2026</w:t>
        </w:r>
      </w:hyperlink>
      <w:hyperlink r:id="rId49">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1">
        <w:r>
          <w:rPr>
            <w:rFonts w:ascii="Times New Roman" w:cs="Times New Roman" w:eastAsia="Times New Roman" w:hAnsi="Times New Roman"/>
            <w:sz w:val="14"/>
            <w:szCs w:val="14"/>
            <w:u w:val="single" w:color="auto"/>
            <w:color w:val="0000EE"/>
          </w:rPr>
          <w:t>May 21, 2026</w:t>
        </w:r>
      </w:hyperlink>
      <w:hyperlink r:id="rId49">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2">
        <w:r>
          <w:rPr>
            <w:rFonts w:ascii="Times New Roman" w:cs="Times New Roman" w:eastAsia="Times New Roman" w:hAnsi="Times New Roman"/>
            <w:sz w:val="14"/>
            <w:szCs w:val="14"/>
            <w:u w:val="single" w:color="auto"/>
            <w:color w:val="0000EE"/>
          </w:rPr>
          <w:t xml:space="preserve">May 27, 2026 </w:t>
        </w:r>
      </w:hyperlink>
      <w:hyperlink r:id="rId49">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53">
        <w:r>
          <w:rPr>
            <w:rFonts w:ascii="Times New Roman" w:cs="Times New Roman" w:eastAsia="Times New Roman" w:hAnsi="Times New Roman"/>
            <w:sz w:val="14"/>
            <w:szCs w:val="14"/>
            <w:u w:val="single" w:color="auto"/>
            <w:color w:val="0000EE"/>
          </w:rPr>
          <w:t>June 1, 2026</w:t>
        </w:r>
      </w:hyperlink>
      <w:hyperlink r:id="rId49">
        <w:r>
          <w:rPr>
            <w:rFonts w:ascii="Times New Roman" w:cs="Times New Roman" w:eastAsia="Times New Roman" w:hAnsi="Times New Roman"/>
            <w:sz w:val="14"/>
            <w:szCs w:val="14"/>
            <w:color w:val="000000"/>
          </w:rPr>
          <w:t>, excluding any information furnished in such reports under Item 2.02, Item 7.01 or Item 9.0;</w:t>
        </w:r>
      </w:hyperlink>
    </w:p>
    <w:p>
      <w:pPr>
        <w:spacing w:after="0" w:line="124" w:lineRule="exact"/>
        <w:rPr>
          <w:rFonts w:ascii="Times New Roman" w:cs="Times New Roman" w:eastAsia="Times New Roman" w:hAnsi="Times New Roman"/>
          <w:sz w:val="14"/>
          <w:szCs w:val="14"/>
          <w:color w:val="0000EE"/>
        </w:rPr>
      </w:pPr>
    </w:p>
    <w:p>
      <w:pPr>
        <w:ind w:left="1040" w:hanging="521"/>
        <w:spacing w:after="0" w:line="290" w:lineRule="auto"/>
        <w:tabs>
          <w:tab w:leader="none" w:pos="1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Company’s Common Stock contained in the registration statement on </w:t>
      </w:r>
      <w:hyperlink r:id="rId5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July 9, 2021 pursuant to Section 12 of the Exchange Act, including any amendment or report filed for the purpose of updating that description.</w:t>
      </w:r>
    </w:p>
    <w:p>
      <w:pPr>
        <w:spacing w:after="0" w:line="124" w:lineRule="exact"/>
        <w:rPr>
          <w:rFonts w:ascii="Times New Roman" w:cs="Times New Roman" w:eastAsia="Times New Roman" w:hAnsi="Times New Roman"/>
          <w:sz w:val="14"/>
          <w:szCs w:val="14"/>
          <w:color w:val="0000EE"/>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24" w:lineRule="exact"/>
        <w:rPr>
          <w:rFonts w:ascii="Times New Roman" w:cs="Times New Roman" w:eastAsia="Times New Roman" w:hAnsi="Times New Roman"/>
          <w:sz w:val="14"/>
          <w:szCs w:val="14"/>
          <w:color w:val="0000EE"/>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Any statement contained in this prospectus or in a document incorporated or deemed to be incorporated by reference into this prospectus will be deemed to be modified or superseded for purposes hereof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7" w:lineRule="exact"/>
        <w:rPr>
          <w:rFonts w:ascii="Times New Roman" w:cs="Times New Roman" w:eastAsia="Times New Roman" w:hAnsi="Times New Roman"/>
          <w:sz w:val="14"/>
          <w:szCs w:val="14"/>
          <w:color w:val="0000EE"/>
        </w:rPr>
      </w:pPr>
    </w:p>
    <w:p>
      <w:pPr>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telephone number:</w:t>
      </w:r>
    </w:p>
    <w:p>
      <w:pPr>
        <w:spacing w:after="0" w:line="179"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HCW Biologics Inc.</w:t>
      </w:r>
    </w:p>
    <w:p>
      <w:pPr>
        <w:spacing w:after="0" w:line="26"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2929 N Commerce Parkway</w:t>
      </w:r>
    </w:p>
    <w:p>
      <w:pPr>
        <w:spacing w:after="0" w:line="10"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Miramar, FL 33025</w:t>
      </w:r>
    </w:p>
    <w:p>
      <w:pPr>
        <w:spacing w:after="0" w:line="10" w:lineRule="exact"/>
        <w:rPr>
          <w:rFonts w:ascii="Times New Roman" w:cs="Times New Roman" w:eastAsia="Times New Roman" w:hAnsi="Times New Roman"/>
          <w:sz w:val="14"/>
          <w:szCs w:val="14"/>
          <w:color w:val="0000EE"/>
        </w:rPr>
      </w:pPr>
    </w:p>
    <w:p>
      <w:pPr>
        <w:ind w:left="5540" w:hanging="341"/>
        <w:spacing w:after="0"/>
        <w:tabs>
          <w:tab w:leader="none" w:pos="554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842-2024</w:t>
      </w:r>
    </w:p>
    <w:p>
      <w:pPr>
        <w:spacing w:after="0" w:line="167" w:lineRule="exact"/>
        <w:rPr>
          <w:rFonts w:ascii="Times New Roman" w:cs="Times New Roman" w:eastAsia="Times New Roman" w:hAnsi="Times New Roman"/>
          <w:sz w:val="14"/>
          <w:szCs w:val="14"/>
          <w:b w:val="1"/>
          <w:bCs w:val="1"/>
          <w:color w:val="auto"/>
        </w:rPr>
      </w:pPr>
    </w:p>
    <w:p>
      <w:pPr>
        <w:ind w:left="55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32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HCW BIOLOGICS INC.</w:t>
      </w:r>
    </w:p>
    <w:p>
      <w:pPr>
        <w:sectPr>
          <w:pgSz w:w="11900" w:h="16838" w:orient="portrait"/>
          <w:cols w:equalWidth="0" w:num="1">
            <w:col w:w="9019"/>
          </w:cols>
          <w:pgMar w:left="1440" w:top="529"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Resale of</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up to 5,693,950 Shares of Common Stock</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352" w:lineRule="exact"/>
        <w:rPr>
          <w:sz w:val="20"/>
          <w:szCs w:val="20"/>
          <w:color w:val="auto"/>
        </w:rPr>
      </w:pPr>
    </w:p>
    <w:p>
      <w:pPr>
        <w:ind w:left="4020"/>
        <w:spacing w:after="0"/>
        <w:tabs>
          <w:tab w:leader="none" w:pos="4620" w:val="left"/>
        </w:tabs>
        <w:rPr>
          <w:sz w:val="20"/>
          <w:szCs w:val="20"/>
          <w:color w:val="auto"/>
        </w:rPr>
      </w:pPr>
      <w:r>
        <w:rPr>
          <w:rFonts w:ascii="Times New Roman" w:cs="Times New Roman" w:eastAsia="Times New Roman" w:hAnsi="Times New Roman"/>
          <w:sz w:val="14"/>
          <w:szCs w:val="14"/>
          <w:b w:val="1"/>
          <w:bCs w:val="1"/>
          <w:color w:val="auto"/>
        </w:rPr>
        <w:t>June</w:t>
      </w:r>
      <w:r>
        <w:rPr>
          <w:sz w:val="20"/>
          <w:szCs w:val="20"/>
          <w:color w:val="auto"/>
        </w:rPr>
        <w:tab/>
      </w: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234315</wp:posOffset>
            </wp:positionV>
            <wp:extent cx="71608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The following table sets forth the fees and expenses payable by the registrant in connection with the issuance and distribution of the securities being registered. All of the amounts shown are estimates, except for the SEC registration fee:</w:t>
      </w:r>
    </w:p>
    <w:p>
      <w:pPr>
        <w:sectPr>
          <w:pgSz w:w="11900" w:h="16838" w:orient="portrait"/>
          <w:cols w:equalWidth="0" w:num="1">
            <w:col w:w="11280"/>
          </w:cols>
          <w:pgMar w:left="300" w:top="550" w:right="31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895" cy="108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60895" cy="1085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895" cy="108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60895" cy="1085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115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60895" cy="11557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145 of the DGCL concerning indemnification of officers, directors, employees and agents is set forth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145. Indemnification of officers, directors, employees and agents; insurance.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71"/>
        </w:trPr>
        <w:tc>
          <w:tcPr>
            <w:tcW w:w="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82"/>
        </w:trPr>
        <w:tc>
          <w:tcPr>
            <w:tcW w:w="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r>
      <w:tr>
        <w:trPr>
          <w:trHeight w:val="185"/>
        </w:trPr>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354"/>
        </w:trPr>
        <w:tc>
          <w:tcPr>
            <w:tcW w:w="78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81,321</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82" w:lineRule="exact"/>
        <w:rPr>
          <w:sz w:val="20"/>
          <w:szCs w:val="20"/>
          <w:color w:val="auto"/>
        </w:rPr>
      </w:pPr>
    </w:p>
    <w:p>
      <w:pPr>
        <w:sectPr>
          <w:pgSz w:w="11900" w:h="16838" w:orient="portrait"/>
          <w:cols w:equalWidth="0" w:num="2">
            <w:col w:w="8560" w:space="720"/>
            <w:col w:w="2000"/>
          </w:cols>
          <w:pgMar w:left="300" w:top="550" w:right="319" w:bottom="1440" w:gutter="0" w:footer="0" w:header="0"/>
          <w:type w:val="continuous"/>
        </w:sectPr>
      </w:pPr>
    </w:p>
    <w:p>
      <w:pPr>
        <w:jc w:val="both"/>
        <w:ind w:left="260" w:hanging="254"/>
        <w:spacing w:after="0" w:line="260"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44" w:lineRule="exact"/>
        <w:rPr>
          <w:rFonts w:ascii="Times New Roman" w:cs="Times New Roman" w:eastAsia="Times New Roman" w:hAnsi="Times New Roman"/>
          <w:sz w:val="14"/>
          <w:szCs w:val="14"/>
          <w:color w:val="auto"/>
        </w:rPr>
      </w:pPr>
    </w:p>
    <w:p>
      <w:pPr>
        <w:jc w:val="both"/>
        <w:ind w:left="260" w:hanging="254"/>
        <w:spacing w:after="0" w:line="260"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18"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To the extent that a present or former director or officer of a corporation has been successful on the merits or otherwise in defense of any action, suit or proceeding referred to in subsections</w:t>
      </w:r>
    </w:p>
    <w:p>
      <w:pPr>
        <w:spacing w:after="0" w:line="23" w:lineRule="exact"/>
        <w:rPr>
          <w:rFonts w:ascii="Times New Roman" w:cs="Times New Roman" w:eastAsia="Times New Roman" w:hAnsi="Times New Roman"/>
          <w:sz w:val="14"/>
          <w:szCs w:val="14"/>
          <w:color w:val="auto"/>
        </w:rPr>
      </w:pPr>
    </w:p>
    <w:p>
      <w:pPr>
        <w:jc w:val="both"/>
        <w:ind w:left="520" w:hanging="1"/>
        <w:spacing w:after="0" w:line="259" w:lineRule="auto"/>
        <w:tabs>
          <w:tab w:leader="none" w:pos="716"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(b) of this section, or in defense of any claim, issue or matter therein, such person shall be indemnified against expenses (including attorneys’ fees) actually and reasonably incurred by such person in connection therewith. For indemnification with respect to any act or omission occurring after December 31, 2020, references to “officer” for purposes of these paragraphs (c)(1) and (2) of this section shall mean only a person who at the time of such act or omission is deemed to have consented to service by the delivery of process to the registered agent of the corporation pursuant to § 3114(b) of Title 10 (for purposes of this sentence only, treating residents of this State as if they were nonresidents to apply § 3114(b) of Title 10 to this sentence).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type w:val="continuous"/>
        </w:sectPr>
      </w:pPr>
    </w:p>
    <w:bookmarkStart w:id="37" w:name="page38"/>
    <w:bookmarkEnd w:id="37"/>
    <w:p>
      <w:pPr>
        <w:jc w:val="both"/>
        <w:ind w:left="514" w:hanging="258"/>
        <w:spacing w:after="0" w:line="272" w:lineRule="auto"/>
        <w:tabs>
          <w:tab w:leader="none" w:pos="514"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action, suit or proceeding referred to in subsections (a) and (b) of this section, or in defense of any claim, issue or matter therein.</w:t>
      </w:r>
    </w:p>
    <w:p>
      <w:pPr>
        <w:spacing w:after="0" w:line="136" w:lineRule="exact"/>
        <w:rPr>
          <w:rFonts w:ascii="Times New Roman" w:cs="Times New Roman" w:eastAsia="Times New Roman" w:hAnsi="Times New Roman"/>
          <w:sz w:val="14"/>
          <w:szCs w:val="14"/>
          <w:color w:val="auto"/>
        </w:rPr>
      </w:pPr>
    </w:p>
    <w:p>
      <w:pPr>
        <w:jc w:val="both"/>
        <w:ind w:left="254" w:hanging="254"/>
        <w:spacing w:after="0" w:line="265" w:lineRule="auto"/>
        <w:tabs>
          <w:tab w:leader="none" w:pos="25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jc w:val="both"/>
        <w:ind w:left="254"/>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42" w:lineRule="exact"/>
        <w:rPr>
          <w:rFonts w:ascii="Times New Roman" w:cs="Times New Roman" w:eastAsia="Times New Roman" w:hAnsi="Times New Roman"/>
          <w:sz w:val="14"/>
          <w:szCs w:val="14"/>
          <w:color w:val="auto"/>
        </w:rPr>
      </w:pPr>
    </w:p>
    <w:p>
      <w:pPr>
        <w:jc w:val="both"/>
        <w:ind w:left="254" w:hanging="254"/>
        <w:spacing w:after="0" w:line="263" w:lineRule="auto"/>
        <w:tabs>
          <w:tab w:leader="none" w:pos="25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44" w:lineRule="exact"/>
        <w:rPr>
          <w:rFonts w:ascii="Times New Roman" w:cs="Times New Roman" w:eastAsia="Times New Roman" w:hAnsi="Times New Roman"/>
          <w:sz w:val="14"/>
          <w:szCs w:val="14"/>
          <w:color w:val="auto"/>
        </w:rPr>
      </w:pPr>
    </w:p>
    <w:p>
      <w:pPr>
        <w:jc w:val="both"/>
        <w:ind w:left="254" w:hanging="254"/>
        <w:spacing w:after="0" w:line="262" w:lineRule="auto"/>
        <w:tabs>
          <w:tab w:leader="none" w:pos="25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42" w:lineRule="exact"/>
        <w:rPr>
          <w:rFonts w:ascii="Times New Roman" w:cs="Times New Roman" w:eastAsia="Times New Roman" w:hAnsi="Times New Roman"/>
          <w:sz w:val="14"/>
          <w:szCs w:val="14"/>
          <w:color w:val="auto"/>
        </w:rPr>
      </w:pPr>
    </w:p>
    <w:p>
      <w:pPr>
        <w:jc w:val="both"/>
        <w:ind w:left="254" w:hanging="254"/>
        <w:spacing w:after="0" w:line="262" w:lineRule="auto"/>
        <w:tabs>
          <w:tab w:leader="none" w:pos="25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 For purposes of this subsection, insurance shall include any insurance provided directly or indirectly (including pursuant to any fronting or reinsurance arrangement) by or through a captive insurance company organized and licensed in compliance with the laws of any jurisdiction, including any captive insurance company licensed under Chapter 69 of Title 18, provided that the terms of any such captive insurance shall:</w:t>
      </w:r>
    </w:p>
    <w:p>
      <w:pPr>
        <w:spacing w:after="0" w:line="143" w:lineRule="exact"/>
        <w:rPr>
          <w:sz w:val="20"/>
          <w:szCs w:val="20"/>
          <w:color w:val="auto"/>
        </w:rPr>
      </w:pPr>
    </w:p>
    <w:p>
      <w:pPr>
        <w:ind w:left="774" w:hanging="5"/>
        <w:spacing w:after="0" w:line="290" w:lineRule="auto"/>
        <w:tabs>
          <w:tab w:leader="none" w:pos="98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 from coverage thereunder, and provide that the insurer shall not make any payment for, loss in connection with any claim made against any person arising out of, based upon or attributable to any</w:t>
      </w:r>
    </w:p>
    <w:p>
      <w:pPr>
        <w:spacing w:after="0" w:line="124" w:lineRule="exact"/>
        <w:rPr>
          <w:sz w:val="20"/>
          <w:szCs w:val="20"/>
          <w:color w:val="auto"/>
        </w:rPr>
      </w:pPr>
    </w:p>
    <w:p>
      <w:pPr>
        <w:ind w:left="5534" w:right="5120" w:hanging="4765"/>
        <w:spacing w:after="0" w:line="545" w:lineRule="auto"/>
        <w:tabs>
          <w:tab w:leader="none" w:pos="94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profit or other financial advantage to which such person was not legally entitled or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608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74"/>
          </w:cols>
          <w:pgMar w:left="306" w:top="574" w:right="319" w:bottom="1440" w:gutter="0" w:footer="0" w:header="0"/>
        </w:sectPr>
      </w:pPr>
    </w:p>
    <w:bookmarkStart w:id="38" w:name="page39"/>
    <w:bookmarkEnd w:id="38"/>
    <w:p>
      <w:pPr>
        <w:jc w:val="both"/>
        <w:ind w:left="780" w:hanging="5"/>
        <w:spacing w:after="0" w:line="272" w:lineRule="auto"/>
        <w:tabs>
          <w:tab w:leader="none" w:pos="100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deliberate criminal or deliberate fraudulent act of such person, or a knowing violation of law by such person, if (in the case of the foregoing paragraph (g)(1)(i) or (ii) of this section) established by a final, nonappealable adjudication in the underlying proceeding in respect of such claim (which shall not include an action or proceeding initiated by the insurer or the insured to determine coverage under the policy), unless and only to the extent such person is entitled to be indemnified therefor under this section;</w:t>
      </w:r>
    </w:p>
    <w:p>
      <w:pPr>
        <w:spacing w:after="0" w:line="137" w:lineRule="exact"/>
        <w:rPr>
          <w:sz w:val="20"/>
          <w:szCs w:val="20"/>
          <w:color w:val="auto"/>
        </w:rPr>
      </w:pPr>
    </w:p>
    <w:p>
      <w:pPr>
        <w:ind w:left="780" w:hanging="5"/>
        <w:spacing w:after="0" w:line="290" w:lineRule="auto"/>
        <w:tabs>
          <w:tab w:leader="none" w:pos="98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determination to make a payment under such insurance in respect of a claim against a current director or officer (as defined in paragraph (c)(1) of this section) of the corporation shall be made by an independent claims administrator or in accordance with the provisions of paragraphs (d)(1) through (4) of this section; and</w:t>
      </w:r>
    </w:p>
    <w:p>
      <w:pPr>
        <w:spacing w:after="0" w:line="124" w:lineRule="exact"/>
        <w:rPr>
          <w:rFonts w:ascii="Times New Roman" w:cs="Times New Roman" w:eastAsia="Times New Roman" w:hAnsi="Times New Roman"/>
          <w:sz w:val="14"/>
          <w:szCs w:val="14"/>
          <w:color w:val="auto"/>
        </w:rPr>
      </w:pPr>
    </w:p>
    <w:p>
      <w:pPr>
        <w:jc w:val="both"/>
        <w:ind w:left="780" w:hanging="5"/>
        <w:spacing w:after="0" w:line="272" w:lineRule="auto"/>
        <w:tabs>
          <w:tab w:leader="none" w:pos="98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prior to any payment under such insurance in connection with any dismissal or compromise of any action, suit or proceeding brought by or in the right of a corporation as to which notice is required to be given to stockholders, such corporation shall include in such notice that a payment is proposed to be made under such insurance in connection with such dismissal or compromise.</w:t>
      </w:r>
    </w:p>
    <w:p>
      <w:pPr>
        <w:spacing w:after="0" w:line="137" w:lineRule="exact"/>
        <w:rPr>
          <w:sz w:val="20"/>
          <w:szCs w:val="20"/>
          <w:color w:val="auto"/>
        </w:rPr>
      </w:pPr>
    </w:p>
    <w:p>
      <w:pPr>
        <w:ind w:left="260"/>
        <w:spacing w:after="0" w:line="290" w:lineRule="auto"/>
        <w:rPr>
          <w:sz w:val="20"/>
          <w:szCs w:val="20"/>
          <w:color w:val="auto"/>
        </w:rPr>
      </w:pPr>
      <w:r>
        <w:rPr>
          <w:rFonts w:ascii="Times New Roman" w:cs="Times New Roman" w:eastAsia="Times New Roman" w:hAnsi="Times New Roman"/>
          <w:sz w:val="14"/>
          <w:szCs w:val="14"/>
          <w:color w:val="auto"/>
        </w:rPr>
        <w:t>For purposes of paragraph (g)(1) of this section, the conduct of an insured person shall not be imputed to any other insured person. A corporation that establishes or maintains a captive insurance company that provides insurance pursuant to this section shall not, solely by virtue thereof, be subject to the provisions of Title 18.</w:t>
      </w:r>
    </w:p>
    <w:p>
      <w:pPr>
        <w:spacing w:after="0" w:line="124" w:lineRule="exact"/>
        <w:rPr>
          <w:sz w:val="20"/>
          <w:szCs w:val="20"/>
          <w:color w:val="auto"/>
        </w:rPr>
      </w:pPr>
    </w:p>
    <w:p>
      <w:pPr>
        <w:jc w:val="both"/>
        <w:ind w:left="260" w:hanging="254"/>
        <w:spacing w:after="0" w:line="263"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44" w:lineRule="exact"/>
        <w:rPr>
          <w:rFonts w:ascii="Times New Roman" w:cs="Times New Roman" w:eastAsia="Times New Roman" w:hAnsi="Times New Roman"/>
          <w:sz w:val="14"/>
          <w:szCs w:val="14"/>
          <w:color w:val="auto"/>
        </w:rPr>
      </w:pPr>
    </w:p>
    <w:p>
      <w:pPr>
        <w:jc w:val="both"/>
        <w:ind w:left="260" w:hanging="254"/>
        <w:spacing w:after="0" w:line="263"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44" w:lineRule="exact"/>
        <w:rPr>
          <w:rFonts w:ascii="Times New Roman" w:cs="Times New Roman" w:eastAsia="Times New Roman" w:hAnsi="Times New Roman"/>
          <w:sz w:val="14"/>
          <w:szCs w:val="14"/>
          <w:color w:val="auto"/>
        </w:rPr>
      </w:pPr>
    </w:p>
    <w:p>
      <w:pPr>
        <w:ind w:left="260" w:hanging="254"/>
        <w:spacing w:after="0" w:line="290"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24" w:lineRule="exact"/>
        <w:rPr>
          <w:rFonts w:ascii="Times New Roman" w:cs="Times New Roman" w:eastAsia="Times New Roman" w:hAnsi="Times New Roman"/>
          <w:sz w:val="14"/>
          <w:szCs w:val="14"/>
          <w:color w:val="auto"/>
        </w:rPr>
      </w:pPr>
    </w:p>
    <w:p>
      <w:pPr>
        <w:jc w:val="both"/>
        <w:ind w:left="260" w:hanging="254"/>
        <w:spacing w:after="0" w:line="272"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Article IV of the Company’s By-laws provides: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Each person who was or is made a party to, or is threatened to be made a party to, or is involved in any threatened, pending or completed action, suit or proceeding, whether civil, criminal, administrative, legislative or any other type whatsoever (a “Proceeding”),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past three years, we sold the following securities without registration under the Securities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Common Stock and Warrants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November 18, 2024, the Company entered into a securities purchase agreement (“SPA”) with Armistice Capital Master Fund Ltd. (“Armistice”) pursuant to which the Company agreed to offer and sell (i) in a registered direct offering (the “Registered Offering”) (x) 104,000 shares (the “Shares”) of the Company’s Common Stock, par value $0.0001 per share (the “Common Stock”), and</w:t>
      </w:r>
    </w:p>
    <w:p>
      <w:pPr>
        <w:jc w:val="both"/>
        <w:ind w:firstLine="6"/>
        <w:spacing w:after="0" w:line="259" w:lineRule="auto"/>
        <w:tabs>
          <w:tab w:leader="none" w:pos="21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pre-funded warrants to purchase up to 63,925 shares of Common Stock (the “Pre-Funded Warrants”) and (ii) in a concurrent private placement (the “Private Placement” and together with the Registered Offering, the “Offering”), unregistered warrants to purchase up to an aggregate of 154,275 shares of Common Stock (“Armistice Warrants”). The combined purchase price for each Share and accompanying Armistice Warrant to purchase one share of Common Stock was $41.20 per Share and the combined purchase price for each Pre-Funded Warrant and accompanying Common Stock Warrant to purchase one share of Common Stock was $40.196.</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Common Stock and Pre-Funded Warrants were each sold with an accompanying Armistice Warrant to purchase one share of Common Stock, and the Common Stock and Pre-Funded Warrants were immediately separated from the Armistice Warrants and were issued separately. The Armistice Warrants have an exercise price of $41.20 per share, are exercisable immediately, and expire on the five year anniversary of the date of issuance. The Pre-Funded Warrants have an exercise price of $0.0001, are exercisable immediately and will not expire until exercised in full.</w:t>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shares of Common Stock and Pre-Funded Warrants in the Registered Offering were offered pursuant to a shelf registration statement on Form S-3 (File No. 333-266991), which was declared effective by the U.S. Securities and Exchange Commission (the “SEC”) on August 26, 2022. The Registered Offering has been made by means of a prospectus supplement filed with the SEC on November 20, 2024 that forms a part of such registration statement.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The gross proceeds to the Company from the Registered Offering were approximately $6.9 million before deducting the placement agent’s fees and other offering expenses payable by the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Offering closed on November 20, 2024.</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November 18, 2024, the Company entered into a placement agency agreement (the “Placement Agency Agreement”) with Maxim Group LLC (“Maxim” or the “Placement Agent”) pursuant to which the Company engaged the Placement Agent as the exclusive Placement Agent in connection with the Offering. The Company agreed to pay Maxim a cash fee equal to 7.0% of gross proceeds from the sale of Shares, Pre-Funded Warrants and Common Stock Warrants to the Purchaser. The Company also agreed to reimburse Maxim for out-of-pocket expenses, including the reasonable legal fees of its counsel not to exceed $50,000. The Placement Agent Agreement also contains representations, warranties, indemnification and other provisions customary for transactions of this nature.</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February 20, 2024, the Company completed a $2.5 million private placement of shares of Common Stock with certain of its officers and directors at a price of $56.00 per share. The Company issued 44,643 shares of Common Stock in connection with the offering. The shares have not been registered and will not be sold or transferred except as permitted under law and pursuant to registration or exemption therefrom. The Board of Directors and Audit Committee of the Board of Directors reviewed the transaction under the Company’s policy for Related Party Transactions (the “Policy”) and determined that the transaction was in compliance with the Policy.</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February 20, 2025, the Company entered into an equity purchase agreement (the “ELOC Purchase Agreement”) with Square Gate Capital Master Fund, LLC – Series 4 (“Square Gate”) pursuant to which, upon the terms and subject to the conditions and limitations set forth therein, the Company has the right to direct Square Gate to purchase up to an aggregate of $20,000,000 of shares of our Common Stock, plus, at the Company’s option upon utilizing the initial $20,000,000, an additional amount equal to the lesser of 100% of the Company’s market capitalization at the time of exercise of such option or $20,000,000, over the 36-month term of the ELOC Purchase Agreement. The Company issued 9,616 shares of our Common Stock to Square Gate on March 12, 2025, as its Commitment Fee under the ELOC Purchase Agreement (the “Commitment Shares”).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holders of $6.6 million of the outstanding principal of the Secured Notes have agreed to and effected the conversion of the Secured Notes held by them into shares of the Company’s Common Stock at a conversion price of $26.00 per share (“Conversion Shares”), warrants to purchase approximately $3.3 million of the Company’s Common Stock at an exercise price of $26.00 per share (“Conversion Warrants”), and the right to their pro rata share of 49.11% of the proceeds of the Company’s shares of Wugen common stock (“Wugen Shares”), if and when such shares are ever sold (the “Wugen Proceeds”). The conversion was approved at a Special Meeting of Stockholders held on March 31, 2025 and was effected pursuant to the terms of the Conversion Amendment. On May 7, 2025, pursuant to the Conversion Amendment, the Secured Notes held by the participating noteholders were cancelled, and the Company issued a total of 253,083 unregistered shares of Common Stock (which are subject to a 180-day lock-up) and warrants to purchase an additional 126,540 shares of Common Stock at an exercise price of $26.00 per share.</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November 19, 2025, the Company entered into a warrant inducement agreement with Armistice Capital Master Fund Ltd. (the “Inducement Agreement”), pursuant to which Armistice agreed to immediately exercise in full all of its outstanding warrants originally issued on November 20, 2024 (as amended on May 15, 2025) and on May 15, 2025 (the “Existing Warrants”) to purchase an aggregate of 1,510,205 shares of Common Stock at an amended exercise price of $2.66 per share, resulting in aggregate gross proceeds to the Company of approximately $4.0 million before fees and expenses. In consideration for the immediate exercise of the Existing Warrants, the Company issued to Armistice, in a private placement pursuant to Section 4(a)(2) of the Securities Act, new unregistered Common Stock Purchase Warrants (the “New Warrants”) to purchase up to 3,020,410 shares of Common Stock at an exercise price of $2.41 per share. The New Warrants are exercisable immediately and expire five and one-half years from their issuance. The Company agreed, pursuant to the Inducement Agreement, to file a registration statement covering the resale of the shares issuable upon exercise of the New Warrants, which registration statement became effective on January 29, 2026.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17, 2026, the Company entered into a securities purchase agreement with Armistice Capital Master Fund in connection with a follow-on public offering pursuant to which the Company issued Units consisting of: (i) Pre-Funded Warrants to purchase up to 2,477,292 shares of Common Stock and (ii) up to 2,477,292 Common Stock purchase warrants the exercise of which is conditioned on stockholder approval to purchase up to 2,477,292 shares of Common Stock. In connection with this offering, on February 17, 2026, the Company also entered into a privately negotiated agreement with the Investor, which holds certain existing outstanding warrants to purchase up to 3,020,410 shares of Common Stock to seek stockholder approval in accordance with applicable Nasdaq rules to reduce the exercise price of such warrants to the public offering price per Unit paid in the offering. The combined purchase price for each Unit consisted of one Pre-Funded Warrant that may be exercised for one share of Common Stock and accompanying Common Stock Warrant to purchase one share of Common Stock was $0.6054. The Common Stock Warrants has an exercise price of $0.6055 per share, will be exercisable only upon receipt of stockholder approval. The Pre-Funded Warrants have an exercise price of $0.0001, are exercisable immediately and will not expire until exercised in full. All Pre-Funded Warrants were exercised on March 16, 2026, at which time the Company issued 2,477,292 shares of Common Stock. The Common Stock Warrants and Prior Warrants require stockholder approval, per Nasdaq rules. The Company filed a definitive proxy statement on March 13, 2026 for a Special Stockholders’ Meeting to be held on April 27, 2026, which included proposals related to Common Stock Warrants, however, the meeting was adjourned due to lack of quorum. The Company has included these proposals in the definitive proxy statement for its Annual Meeting of Stockholders to be held on June 15, 2026.</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May 21, 2026, the Company entered into a Securities Purchase Agreement (the “SPA”) with certain accredited investors (the “Purchasers”), pursuant to which the Company issued and sold, in a private placement on May 22, 2026 (the “PIPE Transaction”), an aggregate of 2,846,975 units at a purchase price of $1.405 per unit. Each unit consisted of (i) one share of the Company’s Common Stock, or, in lieu thereof, one pre-funded warrant to purchase one share of Common Stock (the “Pre-Funded Warrants”), and (ii) one common stock purchase warrant (the “May 2026 Common Warrants”) to purchase one share of Common Stock. The Pre-Funded Warrants have an exercise price of $0.0001 per share and are exercisable immediately until exercised in full. The May 2026 Common Warrants have an exercise price of $1.28 per share, are exercisable immediately and expire five and one-half years from the date of issuance. The PIPE Transaction closed on May 21, 2026 and resulted in gross proceeds to the Company of approximately $4.0 million, before deducting placement agent fees and offering expenses. In connection with the PIPE Transaction, the Company entered into a placement agency agreement with E.F. Hutton &amp; Co. pursuant to which it agreed to pay customary placement agent fees and expenses. The securities issued in the PIPE Transaction were offered and sold in reliance on Section 4(a)(2) of the Securities Act and Rule 506(b) of Regulation D promulgated thereunder.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exhibits to this registration statement are listed in the Exhibit Index to this registration statement, which immediately precedes the Signature Page, and which Exhibit Index is hereby incorporated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81" w:lineRule="exact"/>
        <w:rPr>
          <w:sz w:val="20"/>
          <w:szCs w:val="20"/>
          <w:color w:val="auto"/>
        </w:rPr>
      </w:pPr>
    </w:p>
    <w:p>
      <w:pPr>
        <w:ind w:left="520" w:hanging="258"/>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1" w:lineRule="exact"/>
        <w:rPr>
          <w:rFonts w:ascii="Times New Roman" w:cs="Times New Roman" w:eastAsia="Times New Roman" w:hAnsi="Times New Roman"/>
          <w:sz w:val="14"/>
          <w:szCs w:val="14"/>
          <w:color w:val="auto"/>
        </w:rPr>
      </w:pPr>
    </w:p>
    <w:p>
      <w:pPr>
        <w:ind w:left="780" w:hanging="261"/>
        <w:spacing w:after="0"/>
        <w:tabs>
          <w:tab w:leader="none" w:pos="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181" w:lineRule="exact"/>
        <w:rPr>
          <w:rFonts w:ascii="Times New Roman" w:cs="Times New Roman" w:eastAsia="Times New Roman" w:hAnsi="Times New Roman"/>
          <w:sz w:val="14"/>
          <w:szCs w:val="14"/>
          <w:color w:val="auto"/>
        </w:rPr>
      </w:pPr>
    </w:p>
    <w:p>
      <w:pPr>
        <w:jc w:val="both"/>
        <w:ind w:left="780" w:hanging="261"/>
        <w:spacing w:after="0" w:line="263" w:lineRule="auto"/>
        <w:tabs>
          <w:tab w:leader="none" w:pos="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2" w:name="page43"/>
    <w:bookmarkEnd w:id="42"/>
    <w:p>
      <w:pPr>
        <w:jc w:val="both"/>
        <w:ind w:left="520" w:hanging="261"/>
        <w:spacing w:after="0" w:line="263" w:lineRule="auto"/>
        <w:tabs>
          <w:tab w:leader="none" w:pos="5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 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4" w:lineRule="exact"/>
        <w:rPr>
          <w:rFonts w:ascii="Times New Roman" w:cs="Times New Roman" w:eastAsia="Times New Roman" w:hAnsi="Times New Roman"/>
          <w:sz w:val="14"/>
          <w:szCs w:val="14"/>
          <w:color w:val="auto"/>
        </w:rPr>
      </w:pPr>
    </w:p>
    <w:p>
      <w:pPr>
        <w:ind w:left="260" w:hanging="258"/>
        <w:spacing w:after="0" w:line="290" w:lineRule="auto"/>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4"/>
          <w:szCs w:val="14"/>
          <w:color w:val="auto"/>
        </w:rPr>
      </w:pPr>
    </w:p>
    <w:p>
      <w:pPr>
        <w:ind w:left="260" w:hanging="258"/>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81" w:lineRule="exact"/>
        <w:rPr>
          <w:rFonts w:ascii="Times New Roman" w:cs="Times New Roman" w:eastAsia="Times New Roman" w:hAnsi="Times New Roman"/>
          <w:sz w:val="14"/>
          <w:szCs w:val="14"/>
          <w:color w:val="auto"/>
        </w:rPr>
      </w:pPr>
    </w:p>
    <w:p>
      <w:pPr>
        <w:ind w:left="260" w:hanging="258"/>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8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181" w:lineRule="exact"/>
        <w:rPr>
          <w:sz w:val="20"/>
          <w:szCs w:val="20"/>
          <w:color w:val="auto"/>
        </w:rPr>
      </w:pPr>
    </w:p>
    <w:p>
      <w:pPr>
        <w:ind w:left="780" w:hanging="265"/>
        <w:spacing w:after="0" w:line="290" w:lineRule="auto"/>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122" w:lineRule="exact"/>
        <w:rPr>
          <w:sz w:val="20"/>
          <w:szCs w:val="20"/>
          <w:color w:val="auto"/>
        </w:rPr>
      </w:pPr>
    </w:p>
    <w:p>
      <w:pPr>
        <w:jc w:val="both"/>
        <w:ind w:left="260"/>
        <w:spacing w:after="0" w:line="271"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12" w:lineRule="exact"/>
        <w:rPr>
          <w:sz w:val="20"/>
          <w:szCs w:val="20"/>
          <w:color w:val="auto"/>
        </w:rPr>
      </w:pPr>
    </w:p>
    <w:p>
      <w:pPr>
        <w:ind w:left="260" w:hanging="258"/>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181" w:lineRule="exact"/>
        <w:rPr>
          <w:rFonts w:ascii="Times New Roman" w:cs="Times New Roman" w:eastAsia="Times New Roman" w:hAnsi="Times New Roman"/>
          <w:sz w:val="14"/>
          <w:szCs w:val="14"/>
          <w:color w:val="auto"/>
        </w:rPr>
      </w:pPr>
    </w:p>
    <w:p>
      <w:pPr>
        <w:jc w:val="both"/>
        <w:ind w:left="26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6"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8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81" w:lineRule="exact"/>
        <w:rPr>
          <w:rFonts w:ascii="Times New Roman" w:cs="Times New Roman" w:eastAsia="Times New Roman" w:hAnsi="Times New Roman"/>
          <w:sz w:val="14"/>
          <w:szCs w:val="14"/>
          <w:color w:val="auto"/>
        </w:rPr>
      </w:pPr>
    </w:p>
    <w:p>
      <w:pPr>
        <w:ind w:left="520" w:hanging="261"/>
        <w:spacing w:after="0" w:line="290" w:lineRule="auto"/>
        <w:tabs>
          <w:tab w:leader="none" w:pos="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an undersigned registrant; and</w:t>
      </w:r>
    </w:p>
    <w:p>
      <w:pPr>
        <w:spacing w:after="0" w:line="12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15875</wp:posOffset>
            </wp:positionV>
            <wp:extent cx="71608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020"/>
          </w:cols>
          <w:pgMar w:left="560" w:top="552"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7"/>
        </w:trPr>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63"/>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r>
      <w:tr>
        <w:trPr>
          <w:trHeight w:val="167"/>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r>
      <w:tr>
        <w:trPr>
          <w:trHeight w:val="187"/>
        </w:trPr>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2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151"/>
        </w:trPr>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spacing w:after="0"/>
              <w:rPr>
                <w:sz w:val="13"/>
                <w:szCs w:val="13"/>
                <w:color w:val="auto"/>
              </w:rPr>
            </w:pPr>
          </w:p>
        </w:tc>
        <w:tc>
          <w:tcPr>
            <w:tcW w:w="3740" w:type="dxa"/>
            <w:vAlign w:val="bottom"/>
            <w:gridSpan w:val="21"/>
          </w:tcPr>
          <w:p>
            <w:pPr>
              <w:spacing w:after="0" w:line="151"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Amended and Restated Certificate of Incorporation</w:t>
              </w:r>
            </w:hyperlink>
          </w:p>
        </w:tc>
        <w:tc>
          <w:tcPr>
            <w:tcW w:w="260" w:type="dxa"/>
            <w:vAlign w:val="bottom"/>
          </w:tcPr>
          <w:p>
            <w:pPr>
              <w:spacing w:after="0"/>
              <w:rPr>
                <w:sz w:val="13"/>
                <w:szCs w:val="13"/>
                <w:color w:val="auto"/>
              </w:rPr>
            </w:pPr>
          </w:p>
        </w:tc>
        <w:tc>
          <w:tcPr>
            <w:tcW w:w="11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360" w:type="dxa"/>
            <w:vAlign w:val="bottom"/>
            <w:gridSpan w:val="2"/>
          </w:tcPr>
          <w:p>
            <w:pPr>
              <w:jc w:val="center"/>
              <w:ind w:left="189"/>
              <w:spacing w:after="0" w:line="151" w:lineRule="exact"/>
              <w:rPr>
                <w:sz w:val="20"/>
                <w:szCs w:val="20"/>
                <w:color w:val="auto"/>
              </w:rPr>
            </w:pPr>
            <w:r>
              <w:rPr>
                <w:rFonts w:ascii="Times New Roman" w:cs="Times New Roman" w:eastAsia="Times New Roman" w:hAnsi="Times New Roman"/>
                <w:sz w:val="14"/>
                <w:szCs w:val="14"/>
                <w:color w:val="auto"/>
              </w:rPr>
              <w:t>07/26/2021</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3.1a</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Certificate of Amendment of Certificate of Incorporation, filed</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3.1a</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04/01/2025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21"/>
          </w:tcPr>
          <w:p>
            <w:pPr>
              <w:spacing w:after="0" w:line="151"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March 31, 2025</w:t>
              </w:r>
            </w:hyperlink>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3.1b</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Certificate of Correction of the Certificate of Amendment of</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3.1b</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04/01/2025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0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Certificate of Incorporation, filed April 1, 2025</w:t>
              </w:r>
            </w:hyperlink>
          </w:p>
        </w:tc>
        <w:tc>
          <w:tcPr>
            <w:tcW w:w="1040" w:type="dxa"/>
            <w:vAlign w:val="bottom"/>
            <w:gridSpan w:val="6"/>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14"/>
                <w:szCs w:val="14"/>
                <w:color w:val="auto"/>
              </w:rPr>
            </w:pPr>
          </w:p>
        </w:tc>
        <w:tc>
          <w:tcPr>
            <w:tcW w:w="3740" w:type="dxa"/>
            <w:vAlign w:val="bottom"/>
            <w:gridSpan w:val="21"/>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Amended and Restated Bylaws</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3.2</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07/26/2021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4"/>
                <w:szCs w:val="14"/>
                <w:color w:val="auto"/>
              </w:rPr>
            </w:pPr>
          </w:p>
        </w:tc>
        <w:tc>
          <w:tcPr>
            <w:tcW w:w="15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Specimen Stock Certificate</w:t>
              </w:r>
            </w:hyperlink>
          </w:p>
        </w:tc>
        <w:tc>
          <w:tcPr>
            <w:tcW w:w="220" w:type="dxa"/>
            <w:vAlign w:val="bottom"/>
            <w:tcBorders>
              <w:top w:val="single" w:sz="8" w:color="0000EE"/>
            </w:tcBorders>
            <w:gridSpan w:val="2"/>
          </w:tcPr>
          <w:p>
            <w:pPr>
              <w:spacing w:after="0"/>
              <w:rPr>
                <w:sz w:val="14"/>
                <w:szCs w:val="14"/>
                <w:color w:val="auto"/>
              </w:rPr>
            </w:pPr>
          </w:p>
        </w:tc>
        <w:tc>
          <w:tcPr>
            <w:tcW w:w="1960" w:type="dxa"/>
            <w:vAlign w:val="bottom"/>
            <w:gridSpan w:val="13"/>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4.1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4"/>
                <w:szCs w:val="14"/>
                <w:color w:val="auto"/>
              </w:rPr>
            </w:pPr>
          </w:p>
        </w:tc>
        <w:tc>
          <w:tcPr>
            <w:tcW w:w="142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Description of Securities</w:t>
              </w:r>
            </w:hyperlink>
          </w:p>
        </w:tc>
        <w:tc>
          <w:tcPr>
            <w:tcW w:w="2320" w:type="dxa"/>
            <w:vAlign w:val="bottom"/>
            <w:gridSpan w:val="16"/>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4.2</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03/29/2022</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4"/>
                <w:szCs w:val="14"/>
                <w:color w:val="auto"/>
              </w:rPr>
            </w:pPr>
          </w:p>
        </w:tc>
        <w:tc>
          <w:tcPr>
            <w:tcW w:w="126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9"/>
              </w:rPr>
            </w:pPr>
            <w:hyperlink r:id="rId73">
              <w:r>
                <w:rPr>
                  <w:rFonts w:ascii="Times New Roman" w:cs="Times New Roman" w:eastAsia="Times New Roman" w:hAnsi="Times New Roman"/>
                  <w:sz w:val="14"/>
                  <w:szCs w:val="14"/>
                  <w:color w:val="0000EE"/>
                  <w:w w:val="99"/>
                </w:rPr>
                <w:t>Form of New Warrant</w:t>
              </w:r>
            </w:hyperlink>
          </w:p>
        </w:tc>
        <w:tc>
          <w:tcPr>
            <w:tcW w:w="2480" w:type="dxa"/>
            <w:vAlign w:val="bottom"/>
            <w:gridSpan w:val="17"/>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4.1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11/20/2025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spacing w:after="0"/>
              <w:rPr>
                <w:sz w:val="14"/>
                <w:szCs w:val="14"/>
                <w:color w:val="auto"/>
              </w:rPr>
            </w:pPr>
          </w:p>
        </w:tc>
        <w:tc>
          <w:tcPr>
            <w:tcW w:w="24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Common Stock Purchase Warrant</w:t>
              </w:r>
            </w:hyperlink>
          </w:p>
        </w:tc>
        <w:tc>
          <w:tcPr>
            <w:tcW w:w="1280" w:type="dxa"/>
            <w:vAlign w:val="bottom"/>
            <w:gridSpan w:val="7"/>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4.1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02/19/2026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4"/>
                <w:szCs w:val="14"/>
                <w:color w:val="auto"/>
              </w:rPr>
            </w:pPr>
          </w:p>
        </w:tc>
        <w:tc>
          <w:tcPr>
            <w:tcW w:w="316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Form of Pre-Funded Common Stock Purchase Warrant</w:t>
              </w:r>
            </w:hyperlink>
          </w:p>
        </w:tc>
        <w:tc>
          <w:tcPr>
            <w:tcW w:w="5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4.2</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02/19/2026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Form of Common Stock Warrant, dated May 7, 2025, between</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10.13</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08/18/2025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21"/>
          </w:tcPr>
          <w:p>
            <w:pPr>
              <w:spacing w:after="0" w:line="151"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Company and Holder</w:t>
              </w:r>
            </w:hyperlink>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tcPr>
          <w:p>
            <w:pPr>
              <w:spacing w:after="0"/>
              <w:rPr>
                <w:sz w:val="14"/>
                <w:szCs w:val="14"/>
                <w:color w:val="auto"/>
              </w:rPr>
            </w:pPr>
          </w:p>
        </w:tc>
        <w:tc>
          <w:tcPr>
            <w:tcW w:w="314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Form of Pre-Funded Common Stock Purchase Warrant</w:t>
              </w:r>
            </w:hyperlink>
          </w:p>
        </w:tc>
        <w:tc>
          <w:tcPr>
            <w:tcW w:w="60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4.1</w:t>
            </w:r>
          </w:p>
        </w:tc>
        <w:tc>
          <w:tcPr>
            <w:tcW w:w="13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5/21/2026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4"/>
                <w:szCs w:val="14"/>
                <w:color w:val="auto"/>
              </w:rPr>
            </w:pPr>
          </w:p>
        </w:tc>
        <w:tc>
          <w:tcPr>
            <w:tcW w:w="2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Form of Common Stock Purchase Warrant</w:t>
              </w:r>
            </w:hyperlink>
          </w:p>
        </w:tc>
        <w:tc>
          <w:tcPr>
            <w:tcW w:w="1300" w:type="dxa"/>
            <w:vAlign w:val="bottom"/>
            <w:gridSpan w:val="8"/>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4.2</w:t>
            </w:r>
          </w:p>
        </w:tc>
        <w:tc>
          <w:tcPr>
            <w:tcW w:w="13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5/21/2026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4"/>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tcPr>
          <w:p>
            <w:pPr>
              <w:spacing w:after="0"/>
              <w:rPr>
                <w:sz w:val="17"/>
                <w:szCs w:val="17"/>
                <w:color w:val="auto"/>
              </w:rPr>
            </w:pPr>
          </w:p>
        </w:tc>
        <w:tc>
          <w:tcPr>
            <w:tcW w:w="37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Opinion of Clark Hill PLC</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1"/>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Form of Inducement Agreement between the Company and</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11/20/2025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Borders>
              <w:bottom w:val="single" w:sz="8" w:color="0000EE"/>
            </w:tcBorders>
            <w:gridSpan w:val="11"/>
          </w:tcPr>
          <w:p>
            <w:pPr>
              <w:spacing w:after="0" w:line="151"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Armistice Capital Management LLC</w:t>
              </w:r>
            </w:hyperlink>
          </w:p>
        </w:tc>
        <w:tc>
          <w:tcPr>
            <w:tcW w:w="1640" w:type="dxa"/>
            <w:vAlign w:val="bottom"/>
            <w:gridSpan w:val="10"/>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Securities  Purchase  Agreement,  dated  February  17,  2026,</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02/19/2026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21"/>
          </w:tcPr>
          <w:p>
            <w:pPr>
              <w:spacing w:after="0" w:line="151"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between Company and Purchaser</w:t>
              </w:r>
            </w:hyperlink>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Amendment to Existing Warrants Agreement, dated February 17,</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10.3</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02/19/2026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21"/>
          </w:tcPr>
          <w:p>
            <w:pPr>
              <w:spacing w:after="0" w:line="151"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2026, between the Company and Purchaser</w:t>
              </w:r>
            </w:hyperlink>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Form of Lock-up Agreement</w:t>
              </w:r>
            </w:hyperlink>
          </w:p>
        </w:tc>
        <w:tc>
          <w:tcPr>
            <w:tcW w:w="800" w:type="dxa"/>
            <w:vAlign w:val="bottom"/>
            <w:tcBorders>
              <w:top w:val="single" w:sz="8" w:color="0000EE"/>
            </w:tcBorders>
            <w:gridSpan w:val="7"/>
          </w:tcPr>
          <w:p>
            <w:pPr>
              <w:spacing w:after="0"/>
              <w:rPr>
                <w:sz w:val="14"/>
                <w:szCs w:val="14"/>
                <w:color w:val="auto"/>
              </w:rPr>
            </w:pPr>
          </w:p>
        </w:tc>
        <w:tc>
          <w:tcPr>
            <w:tcW w:w="1280" w:type="dxa"/>
            <w:vAlign w:val="bottom"/>
            <w:gridSpan w:val="7"/>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333-393396</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10.42</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Form of Indemnification Agreement between HCW Biologics</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21"/>
          </w:tcPr>
          <w:p>
            <w:pPr>
              <w:spacing w:after="0" w:line="151"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Inc. and each of its officers and directors.</w:t>
              </w:r>
            </w:hyperlink>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2019 Equity Incentive Plan, as amended, and forms of agreement</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bottom w:val="single" w:sz="8" w:color="0000EE"/>
            </w:tcBorders>
          </w:tcPr>
          <w:p>
            <w:pPr>
              <w:spacing w:after="0" w:line="151" w:lineRule="exact"/>
              <w:rPr>
                <w:rFonts w:ascii="Times New Roman" w:cs="Times New Roman" w:eastAsia="Times New Roman" w:hAnsi="Times New Roman"/>
                <w:sz w:val="14"/>
                <w:szCs w:val="14"/>
                <w:color w:val="0000EE"/>
                <w:w w:val="97"/>
              </w:rPr>
            </w:pPr>
            <w:hyperlink r:id="rId84">
              <w:r>
                <w:rPr>
                  <w:rFonts w:ascii="Times New Roman" w:cs="Times New Roman" w:eastAsia="Times New Roman" w:hAnsi="Times New Roman"/>
                  <w:sz w:val="14"/>
                  <w:szCs w:val="14"/>
                  <w:color w:val="0000EE"/>
                  <w:w w:val="97"/>
                </w:rPr>
                <w:t>thereunder.</w:t>
              </w:r>
            </w:hyperlink>
          </w:p>
        </w:tc>
        <w:tc>
          <w:tcPr>
            <w:tcW w:w="3100" w:type="dxa"/>
            <w:vAlign w:val="bottom"/>
            <w:gridSpan w:val="20"/>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260" w:type="dxa"/>
            <w:vAlign w:val="bottom"/>
          </w:tcPr>
          <w:p>
            <w:pPr>
              <w:spacing w:after="0"/>
              <w:rPr>
                <w:sz w:val="14"/>
                <w:szCs w:val="14"/>
                <w:color w:val="auto"/>
              </w:rPr>
            </w:pPr>
          </w:p>
        </w:tc>
        <w:tc>
          <w:tcPr>
            <w:tcW w:w="27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First Amendment to 2019 Equity Incentive Plan.</w:t>
              </w:r>
            </w:hyperlink>
          </w:p>
        </w:tc>
        <w:tc>
          <w:tcPr>
            <w:tcW w:w="960" w:type="dxa"/>
            <w:vAlign w:val="bottom"/>
            <w:gridSpan w:val="5"/>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10.3</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260" w:type="dxa"/>
            <w:vAlign w:val="bottom"/>
          </w:tcPr>
          <w:p>
            <w:pPr>
              <w:spacing w:after="0"/>
              <w:rPr>
                <w:sz w:val="14"/>
                <w:szCs w:val="14"/>
                <w:color w:val="auto"/>
              </w:rPr>
            </w:pPr>
          </w:p>
        </w:tc>
        <w:tc>
          <w:tcPr>
            <w:tcW w:w="360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2021 Equity Incentive Plan and forms of agreement thereunder</w:t>
              </w:r>
            </w:hyperlink>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10.4</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Employment Agreement, dated July 6, 2021, between Peter</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10.6</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Borders>
              <w:bottom w:val="single" w:sz="8" w:color="0000EE"/>
            </w:tcBorders>
            <w:gridSpan w:val="9"/>
          </w:tcPr>
          <w:p>
            <w:pPr>
              <w:spacing w:after="0" w:line="151"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Rhode and HCW Biologics Inc.</w:t>
              </w:r>
            </w:hyperlink>
          </w:p>
        </w:tc>
        <w:tc>
          <w:tcPr>
            <w:tcW w:w="1920" w:type="dxa"/>
            <w:vAlign w:val="bottom"/>
            <w:gridSpan w:val="12"/>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260" w:type="dxa"/>
            <w:vAlign w:val="bottom"/>
          </w:tcPr>
          <w:p>
            <w:pPr>
              <w:spacing w:after="0"/>
              <w:rPr>
                <w:sz w:val="14"/>
                <w:szCs w:val="14"/>
                <w:color w:val="auto"/>
              </w:rPr>
            </w:pPr>
          </w:p>
        </w:tc>
        <w:tc>
          <w:tcPr>
            <w:tcW w:w="37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Employment  Agreement,  dated  October  9,  2019,  between</w:t>
              </w:r>
            </w:hyperlink>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10.7</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21"/>
          </w:tcPr>
          <w:p>
            <w:pPr>
              <w:spacing w:after="0" w:line="151"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Rebecca Byam and HCW Biologics Inc.</w:t>
              </w:r>
            </w:hyperlink>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71608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4" w:name="page45"/>
    <w:bookmarkEnd w:id="44"/>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6"/>
                <w:szCs w:val="16"/>
                <w:color w:val="auto"/>
              </w:rPr>
            </w:pPr>
          </w:p>
        </w:tc>
        <w:tc>
          <w:tcPr>
            <w:tcW w:w="3740" w:type="dxa"/>
            <w:vAlign w:val="bottom"/>
            <w:tcBorders>
              <w:bottom w:val="single" w:sz="8" w:color="auto"/>
            </w:tcBorders>
            <w:gridSpan w:val="10"/>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151"/>
        </w:trPr>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6"/>
              </w:rPr>
              <w:t>10.11+</w:t>
            </w:r>
          </w:p>
        </w:tc>
        <w:tc>
          <w:tcPr>
            <w:tcW w:w="260" w:type="dxa"/>
            <w:vAlign w:val="bottom"/>
          </w:tcPr>
          <w:p>
            <w:pPr>
              <w:spacing w:after="0"/>
              <w:rPr>
                <w:sz w:val="13"/>
                <w:szCs w:val="13"/>
                <w:color w:val="auto"/>
              </w:rPr>
            </w:pPr>
          </w:p>
        </w:tc>
        <w:tc>
          <w:tcPr>
            <w:tcW w:w="2680" w:type="dxa"/>
            <w:vAlign w:val="bottom"/>
            <w:tcBorders>
              <w:bottom w:val="single" w:sz="8" w:color="0000EE"/>
            </w:tcBorders>
            <w:gridSpan w:val="7"/>
          </w:tcPr>
          <w:p>
            <w:pPr>
              <w:spacing w:after="0" w:line="151"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Non-Employee Director Compensation Policy.</w:t>
              </w:r>
            </w:hyperlink>
          </w:p>
        </w:tc>
        <w:tc>
          <w:tcPr>
            <w:tcW w:w="1060" w:type="dxa"/>
            <w:vAlign w:val="bottom"/>
            <w:gridSpan w:val="3"/>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Employment Agreement, dated June 18, 2021, between Dr. Hing</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10"/>
          </w:tcPr>
          <w:p>
            <w:pPr>
              <w:spacing w:after="0" w:line="151"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C. Wong and HCW Biologics Inc.</w:t>
              </w:r>
            </w:hyperlink>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260" w:type="dxa"/>
            <w:vAlign w:val="bottom"/>
          </w:tcPr>
          <w:p>
            <w:pPr>
              <w:spacing w:after="0"/>
              <w:rPr>
                <w:sz w:val="14"/>
                <w:szCs w:val="14"/>
                <w:color w:val="auto"/>
              </w:rPr>
            </w:pPr>
          </w:p>
        </w:tc>
        <w:tc>
          <w:tcPr>
            <w:tcW w:w="1940" w:type="dxa"/>
            <w:vAlign w:val="bottom"/>
            <w:tcBorders>
              <w:top w:val="single" w:sz="8" w:color="0000EE"/>
            </w:tcBorders>
            <w:gridSpan w:val="3"/>
          </w:tcPr>
          <w:p>
            <w:pPr>
              <w:spacing w:after="0"/>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Executive Incentive Bonus Plan</w:t>
              </w:r>
            </w:hyperlink>
          </w:p>
        </w:tc>
        <w:tc>
          <w:tcPr>
            <w:tcW w:w="1800" w:type="dxa"/>
            <w:vAlign w:val="bottom"/>
            <w:gridSpan w:val="7"/>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10.14†</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Exclusive  License  Agreement,  dated  December  24,  2020,</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tcBorders>
              <w:bottom w:val="single" w:sz="8" w:color="0000EE"/>
            </w:tcBorders>
            <w:gridSpan w:val="6"/>
          </w:tcPr>
          <w:p>
            <w:pPr>
              <w:spacing w:after="0" w:line="151"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between HCW Biologics Inc. and Wugen, Inc.</w:t>
              </w:r>
            </w:hyperlink>
          </w:p>
        </w:tc>
        <w:tc>
          <w:tcPr>
            <w:tcW w:w="1080" w:type="dxa"/>
            <w:vAlign w:val="bottom"/>
            <w:gridSpan w:val="4"/>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10.15†</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Master Services Agreement, dated March 14, 2019, between</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tcBorders>
              <w:bottom w:val="single" w:sz="8" w:color="0000EE"/>
            </w:tcBorders>
            <w:gridSpan w:val="5"/>
          </w:tcPr>
          <w:p>
            <w:pPr>
              <w:spacing w:after="0" w:line="151"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HCW Biologics Inc. and EirGenix, Inc.</w:t>
              </w:r>
            </w:hyperlink>
          </w:p>
        </w:tc>
        <w:tc>
          <w:tcPr>
            <w:tcW w:w="1480" w:type="dxa"/>
            <w:vAlign w:val="bottom"/>
            <w:gridSpan w:val="5"/>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Purchase and Sale Agreement, by and between HCW Biologics</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10"/>
          </w:tcPr>
          <w:p>
            <w:pPr>
              <w:spacing w:after="0" w:line="151"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Inc. and Wai 3300 Corporate Way, LLC, dated May 27, 2022</w:t>
              </w:r>
            </w:hyperlink>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10.17#</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Loan Agreement by and between HCW Biologics Inc. and</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Borders>
              <w:bottom w:val="single" w:sz="8" w:color="0000EE"/>
            </w:tcBorders>
            <w:gridSpan w:val="4"/>
          </w:tcPr>
          <w:p>
            <w:pPr>
              <w:spacing w:after="0" w:line="151"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Cogent Bank, dated August 15, 2022</w:t>
              </w:r>
            </w:hyperlink>
          </w:p>
        </w:tc>
        <w:tc>
          <w:tcPr>
            <w:tcW w:w="1620" w:type="dxa"/>
            <w:vAlign w:val="bottom"/>
            <w:gridSpan w:val="6"/>
          </w:tcPr>
          <w:p>
            <w:pPr>
              <w:spacing w:after="0"/>
              <w:rPr>
                <w:sz w:val="13"/>
                <w:szCs w:val="13"/>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10.18#</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Mortgage  and  Security  Agreement  by  and  between  HCW</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10"/>
          </w:tcPr>
          <w:p>
            <w:pPr>
              <w:spacing w:after="0" w:line="151"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Biologics Inc. and Cogent Bank, dated August 15, 2022</w:t>
              </w:r>
            </w:hyperlink>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Form of Subscription Agreement, dated February 20, 2024, by</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10"/>
          </w:tcPr>
          <w:p>
            <w:pPr>
              <w:spacing w:after="0" w:line="151"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and between the Company and the Subscribers party thereto</w:t>
              </w:r>
            </w:hyperlink>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26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Form of Amended and Restated Senior Secured Note Purchase</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Borders>
              <w:bottom w:val="single" w:sz="8" w:color="0000EE"/>
            </w:tcBorders>
            <w:gridSpan w:val="10"/>
          </w:tcPr>
          <w:p>
            <w:pPr>
              <w:spacing w:after="0" w:line="151"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Agreement, dated July 2, 2024, by and between the Company</w:t>
              </w:r>
            </w:hyperlink>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gridSpan w:val="10"/>
          </w:tcPr>
          <w:p>
            <w:pPr>
              <w:spacing w:after="0" w:line="151"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and the Purchase party thereto</w:t>
              </w:r>
            </w:hyperlink>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80"/>
        </w:trPr>
        <w:tc>
          <w:tcPr>
            <w:tcW w:w="9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gridSpan w:val="3"/>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71"/>
        </w:trPr>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10.8</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10.13</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w w:val="95"/>
              </w:rPr>
              <w:t>10.11</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10.10</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333-256510</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10.12</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07/09/2021</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08/12/2022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11/07/2022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11/07/2022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02/22/2024</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08/14/2024</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ectPr>
          <w:pgSz w:w="11900" w:h="16838" w:orient="portrait"/>
          <w:cols w:equalWidth="0" w:num="2">
            <w:col w:w="4900" w:space="260"/>
            <w:col w:w="6080"/>
          </w:cols>
          <w:pgMar w:left="320" w:top="572" w:right="339" w:bottom="1440" w:gutter="0" w:footer="0" w:header="0"/>
        </w:sectPr>
      </w:pPr>
    </w:p>
    <w:tbl>
      <w:tblPr>
        <w:tblLayout w:type="fixed"/>
        <w:tblInd w:w="300" w:type="dxa"/>
        <w:tblCellMar>
          <w:top w:w="0" w:type="dxa"/>
          <w:left w:w="0" w:type="dxa"/>
          <w:bottom w:w="0" w:type="dxa"/>
          <w:right w:w="0" w:type="dxa"/>
        </w:tblCellMar>
      </w:tblPr>
      <w:tr>
        <w:trPr>
          <w:trHeight w:val="161"/>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10.21</w:t>
            </w:r>
          </w:p>
        </w:tc>
        <w:tc>
          <w:tcPr>
            <w:tcW w:w="382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Form of Amended and Restated Pledge Agreement, dated July 2,</w:t>
              </w:r>
            </w:hyperlink>
          </w:p>
        </w:tc>
        <w:tc>
          <w:tcPr>
            <w:tcW w:w="200" w:type="dxa"/>
            <w:vAlign w:val="bottom"/>
          </w:tcPr>
          <w:p>
            <w:pPr>
              <w:spacing w:after="0"/>
              <w:rPr>
                <w:sz w:val="13"/>
                <w:szCs w:val="13"/>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08/14/2024</w:t>
            </w:r>
          </w:p>
        </w:tc>
      </w:tr>
      <w:tr>
        <w:trPr>
          <w:trHeight w:val="151"/>
        </w:trPr>
        <w:tc>
          <w:tcPr>
            <w:tcW w:w="860" w:type="dxa"/>
            <w:vAlign w:val="bottom"/>
          </w:tcPr>
          <w:p>
            <w:pPr>
              <w:spacing w:after="0"/>
              <w:rPr>
                <w:sz w:val="13"/>
                <w:szCs w:val="13"/>
                <w:color w:val="auto"/>
              </w:rPr>
            </w:pPr>
          </w:p>
        </w:tc>
        <w:tc>
          <w:tcPr>
            <w:tcW w:w="3820" w:type="dxa"/>
            <w:vAlign w:val="bottom"/>
            <w:tcBorders>
              <w:bottom w:val="single" w:sz="8" w:color="0000EE"/>
            </w:tcBorders>
            <w:gridSpan w:val="13"/>
          </w:tcPr>
          <w:p>
            <w:pPr>
              <w:spacing w:after="0" w:line="151"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2024,  by  and  among  the  Company,  Escrow  Agent  and</w:t>
              </w:r>
            </w:hyperlink>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1"/>
        </w:trPr>
        <w:tc>
          <w:tcPr>
            <w:tcW w:w="860" w:type="dxa"/>
            <w:vAlign w:val="bottom"/>
          </w:tcPr>
          <w:p>
            <w:pPr>
              <w:spacing w:after="0"/>
              <w:rPr>
                <w:sz w:val="13"/>
                <w:szCs w:val="13"/>
                <w:color w:val="auto"/>
              </w:rPr>
            </w:pPr>
          </w:p>
        </w:tc>
        <w:tc>
          <w:tcPr>
            <w:tcW w:w="4020" w:type="dxa"/>
            <w:vAlign w:val="bottom"/>
            <w:gridSpan w:val="14"/>
          </w:tcPr>
          <w:p>
            <w:pPr>
              <w:spacing w:after="0" w:line="151"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Noteholder parties thereto</w:t>
              </w:r>
            </w:hyperlink>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2"/>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10.22</w:t>
            </w:r>
          </w:p>
        </w:tc>
        <w:tc>
          <w:tcPr>
            <w:tcW w:w="374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Form of Escrow Agreement, dated May 1, 2025, by and between</w:t>
              </w:r>
            </w:hyperlink>
          </w:p>
        </w:tc>
        <w:tc>
          <w:tcPr>
            <w:tcW w:w="280" w:type="dxa"/>
            <w:vAlign w:val="bottom"/>
            <w:gridSpan w:val="5"/>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08/14/2024</w:t>
            </w:r>
          </w:p>
        </w:tc>
      </w:tr>
      <w:tr>
        <w:trPr>
          <w:trHeight w:val="151"/>
        </w:trPr>
        <w:tc>
          <w:tcPr>
            <w:tcW w:w="860" w:type="dxa"/>
            <w:vAlign w:val="bottom"/>
          </w:tcPr>
          <w:p>
            <w:pPr>
              <w:spacing w:after="0"/>
              <w:rPr>
                <w:sz w:val="13"/>
                <w:szCs w:val="13"/>
                <w:color w:val="auto"/>
              </w:rPr>
            </w:pPr>
          </w:p>
        </w:tc>
        <w:tc>
          <w:tcPr>
            <w:tcW w:w="3320" w:type="dxa"/>
            <w:vAlign w:val="bottom"/>
            <w:tcBorders>
              <w:bottom w:val="single" w:sz="8" w:color="0000EE"/>
            </w:tcBorders>
            <w:gridSpan w:val="7"/>
          </w:tcPr>
          <w:p>
            <w:pPr>
              <w:spacing w:after="0" w:line="151"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the Company, Escrow Agent and Noteholder party thereto</w:t>
              </w:r>
            </w:hyperlink>
          </w:p>
        </w:tc>
        <w:tc>
          <w:tcPr>
            <w:tcW w:w="700" w:type="dxa"/>
            <w:vAlign w:val="bottom"/>
            <w:gridSpan w:val="7"/>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2"/>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10.23</w:t>
            </w:r>
          </w:p>
        </w:tc>
        <w:tc>
          <w:tcPr>
            <w:tcW w:w="37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Form of First Amendment to Amended and Restated Secured</w:t>
              </w:r>
            </w:hyperlink>
          </w:p>
        </w:tc>
        <w:tc>
          <w:tcPr>
            <w:tcW w:w="260" w:type="dxa"/>
            <w:vAlign w:val="bottom"/>
            <w:gridSpan w:val="4"/>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11/14/2024</w:t>
            </w:r>
          </w:p>
        </w:tc>
      </w:tr>
      <w:tr>
        <w:trPr>
          <w:trHeight w:val="151"/>
        </w:trPr>
        <w:tc>
          <w:tcPr>
            <w:tcW w:w="860" w:type="dxa"/>
            <w:vAlign w:val="bottom"/>
          </w:tcPr>
          <w:p>
            <w:pPr>
              <w:spacing w:after="0"/>
              <w:rPr>
                <w:sz w:val="13"/>
                <w:szCs w:val="13"/>
                <w:color w:val="auto"/>
              </w:rPr>
            </w:pPr>
          </w:p>
        </w:tc>
        <w:tc>
          <w:tcPr>
            <w:tcW w:w="3760" w:type="dxa"/>
            <w:vAlign w:val="bottom"/>
            <w:tcBorders>
              <w:bottom w:val="single" w:sz="8" w:color="0000EE"/>
            </w:tcBorders>
            <w:gridSpan w:val="10"/>
          </w:tcPr>
          <w:p>
            <w:pPr>
              <w:spacing w:after="0" w:line="151"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Note Purchase Agreement, dated September 30, 2024, by and</w:t>
              </w:r>
            </w:hyperlink>
          </w:p>
        </w:tc>
        <w:tc>
          <w:tcPr>
            <w:tcW w:w="26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1"/>
        </w:trPr>
        <w:tc>
          <w:tcPr>
            <w:tcW w:w="860" w:type="dxa"/>
            <w:vAlign w:val="bottom"/>
          </w:tcPr>
          <w:p>
            <w:pPr>
              <w:spacing w:after="0"/>
              <w:rPr>
                <w:sz w:val="13"/>
                <w:szCs w:val="13"/>
                <w:color w:val="auto"/>
              </w:rPr>
            </w:pPr>
          </w:p>
        </w:tc>
        <w:tc>
          <w:tcPr>
            <w:tcW w:w="2880" w:type="dxa"/>
            <w:vAlign w:val="bottom"/>
            <w:tcBorders>
              <w:bottom w:val="single" w:sz="8" w:color="0000EE"/>
            </w:tcBorders>
            <w:gridSpan w:val="5"/>
          </w:tcPr>
          <w:p>
            <w:pPr>
              <w:spacing w:after="0" w:line="151"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between the Company and Purchaser party thereto</w:t>
              </w:r>
            </w:hyperlink>
          </w:p>
        </w:tc>
        <w:tc>
          <w:tcPr>
            <w:tcW w:w="1140" w:type="dxa"/>
            <w:vAlign w:val="bottom"/>
            <w:gridSpan w:val="9"/>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2"/>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10.24</w:t>
            </w:r>
          </w:p>
        </w:tc>
        <w:tc>
          <w:tcPr>
            <w:tcW w:w="380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Form of Secured Promissory Note by and between the Company</w:t>
              </w:r>
            </w:hyperlink>
          </w:p>
        </w:tc>
        <w:tc>
          <w:tcPr>
            <w:tcW w:w="220" w:type="dxa"/>
            <w:vAlign w:val="bottom"/>
            <w:gridSpan w:val="2"/>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08/14/2024</w:t>
            </w:r>
          </w:p>
        </w:tc>
      </w:tr>
      <w:tr>
        <w:trPr>
          <w:trHeight w:val="151"/>
        </w:trPr>
        <w:tc>
          <w:tcPr>
            <w:tcW w:w="860" w:type="dxa"/>
            <w:vAlign w:val="bottom"/>
          </w:tcPr>
          <w:p>
            <w:pPr>
              <w:spacing w:after="0"/>
              <w:rPr>
                <w:sz w:val="13"/>
                <w:szCs w:val="13"/>
                <w:color w:val="auto"/>
              </w:rPr>
            </w:pPr>
          </w:p>
        </w:tc>
        <w:tc>
          <w:tcPr>
            <w:tcW w:w="1620" w:type="dxa"/>
            <w:vAlign w:val="bottom"/>
            <w:tcBorders>
              <w:bottom w:val="single" w:sz="8" w:color="0000EE"/>
            </w:tcBorders>
            <w:gridSpan w:val="3"/>
          </w:tcPr>
          <w:p>
            <w:pPr>
              <w:spacing w:after="0" w:line="151"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and the Holder party thereof</w:t>
              </w:r>
            </w:hyperlink>
          </w:p>
        </w:tc>
        <w:tc>
          <w:tcPr>
            <w:tcW w:w="2400" w:type="dxa"/>
            <w:vAlign w:val="bottom"/>
            <w:gridSpan w:val="11"/>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2"/>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10.25</w:t>
            </w:r>
          </w:p>
        </w:tc>
        <w:tc>
          <w:tcPr>
            <w:tcW w:w="378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Second Amendment to Amended and Restated Senior Secured</w:t>
              </w:r>
            </w:hyperlink>
          </w:p>
        </w:tc>
        <w:tc>
          <w:tcPr>
            <w:tcW w:w="240" w:type="dxa"/>
            <w:vAlign w:val="bottom"/>
            <w:gridSpan w:val="3"/>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08/18/2025</w:t>
            </w:r>
          </w:p>
        </w:tc>
      </w:tr>
      <w:tr>
        <w:trPr>
          <w:trHeight w:val="151"/>
        </w:trPr>
        <w:tc>
          <w:tcPr>
            <w:tcW w:w="860" w:type="dxa"/>
            <w:vAlign w:val="bottom"/>
          </w:tcPr>
          <w:p>
            <w:pPr>
              <w:spacing w:after="0"/>
              <w:rPr>
                <w:sz w:val="13"/>
                <w:szCs w:val="13"/>
                <w:color w:val="auto"/>
              </w:rPr>
            </w:pPr>
          </w:p>
        </w:tc>
        <w:tc>
          <w:tcPr>
            <w:tcW w:w="3780" w:type="dxa"/>
            <w:vAlign w:val="bottom"/>
            <w:tcBorders>
              <w:bottom w:val="single" w:sz="8" w:color="0000EE"/>
            </w:tcBorders>
            <w:gridSpan w:val="11"/>
          </w:tcPr>
          <w:p>
            <w:pPr>
              <w:spacing w:after="0" w:line="151"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Note Purchase Agreement and Related Agreements, dated May</w:t>
              </w:r>
            </w:hyperlink>
          </w:p>
        </w:tc>
        <w:tc>
          <w:tcPr>
            <w:tcW w:w="2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1"/>
        </w:trPr>
        <w:tc>
          <w:tcPr>
            <w:tcW w:w="860" w:type="dxa"/>
            <w:vAlign w:val="bottom"/>
          </w:tcPr>
          <w:p>
            <w:pPr>
              <w:spacing w:after="0"/>
              <w:rPr>
                <w:sz w:val="13"/>
                <w:szCs w:val="13"/>
                <w:color w:val="auto"/>
              </w:rPr>
            </w:pPr>
          </w:p>
        </w:tc>
        <w:tc>
          <w:tcPr>
            <w:tcW w:w="2240" w:type="dxa"/>
            <w:vAlign w:val="bottom"/>
            <w:tcBorders>
              <w:bottom w:val="single" w:sz="8" w:color="0000EE"/>
            </w:tcBorders>
            <w:gridSpan w:val="4"/>
          </w:tcPr>
          <w:p>
            <w:pPr>
              <w:spacing w:after="0" w:line="151"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1, 2025, between Company and Holder</w:t>
              </w:r>
            </w:hyperlink>
          </w:p>
        </w:tc>
        <w:tc>
          <w:tcPr>
            <w:tcW w:w="1780" w:type="dxa"/>
            <w:vAlign w:val="bottom"/>
            <w:gridSpan w:val="10"/>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2"/>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10.26</w:t>
            </w:r>
          </w:p>
        </w:tc>
        <w:tc>
          <w:tcPr>
            <w:tcW w:w="378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Equity Purchase Agreement, dated February 20, 2025, between</w:t>
              </w:r>
            </w:hyperlink>
          </w:p>
        </w:tc>
        <w:tc>
          <w:tcPr>
            <w:tcW w:w="240" w:type="dxa"/>
            <w:vAlign w:val="bottom"/>
            <w:gridSpan w:val="3"/>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2/21/2025</w:t>
            </w:r>
          </w:p>
        </w:tc>
      </w:tr>
      <w:tr>
        <w:trPr>
          <w:trHeight w:val="151"/>
        </w:trPr>
        <w:tc>
          <w:tcPr>
            <w:tcW w:w="860" w:type="dxa"/>
            <w:vAlign w:val="bottom"/>
          </w:tcPr>
          <w:p>
            <w:pPr>
              <w:spacing w:after="0"/>
              <w:rPr>
                <w:sz w:val="13"/>
                <w:szCs w:val="13"/>
                <w:color w:val="auto"/>
              </w:rPr>
            </w:pPr>
          </w:p>
        </w:tc>
        <w:tc>
          <w:tcPr>
            <w:tcW w:w="3120" w:type="dxa"/>
            <w:vAlign w:val="bottom"/>
            <w:tcBorders>
              <w:bottom w:val="single" w:sz="8" w:color="0000EE"/>
            </w:tcBorders>
            <w:gridSpan w:val="6"/>
          </w:tcPr>
          <w:p>
            <w:pPr>
              <w:spacing w:after="0" w:line="151"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the Company and Square Gate Master Fund - Series 4.</w:t>
              </w:r>
            </w:hyperlink>
          </w:p>
        </w:tc>
        <w:tc>
          <w:tcPr>
            <w:tcW w:w="900" w:type="dxa"/>
            <w:vAlign w:val="bottom"/>
            <w:gridSpan w:val="8"/>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2"/>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10.27</w:t>
            </w:r>
          </w:p>
        </w:tc>
        <w:tc>
          <w:tcPr>
            <w:tcW w:w="37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Registration  Rights  Agreement,  dated  February  20,  2025,</w:t>
              </w:r>
            </w:hyperlink>
          </w:p>
        </w:tc>
        <w:tc>
          <w:tcPr>
            <w:tcW w:w="260" w:type="dxa"/>
            <w:vAlign w:val="bottom"/>
            <w:gridSpan w:val="4"/>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2/21/2025</w:t>
            </w:r>
          </w:p>
        </w:tc>
      </w:tr>
      <w:tr>
        <w:trPr>
          <w:trHeight w:val="151"/>
        </w:trPr>
        <w:tc>
          <w:tcPr>
            <w:tcW w:w="860" w:type="dxa"/>
            <w:vAlign w:val="bottom"/>
          </w:tcPr>
          <w:p>
            <w:pPr>
              <w:spacing w:after="0"/>
              <w:rPr>
                <w:sz w:val="13"/>
                <w:szCs w:val="13"/>
                <w:color w:val="auto"/>
              </w:rPr>
            </w:pPr>
          </w:p>
        </w:tc>
        <w:tc>
          <w:tcPr>
            <w:tcW w:w="4020" w:type="dxa"/>
            <w:vAlign w:val="bottom"/>
            <w:gridSpan w:val="14"/>
          </w:tcPr>
          <w:p>
            <w:pPr>
              <w:spacing w:after="0" w:line="151"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between the Company and Square Gate Master Fund - Series 4</w:t>
              </w:r>
            </w:hyperlink>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8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2"/>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10.28</w:t>
            </w:r>
          </w:p>
        </w:tc>
        <w:tc>
          <w:tcPr>
            <w:tcW w:w="37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First Amendment to the Equity Purchase Agreement, dated</w:t>
              </w:r>
            </w:hyperlink>
          </w:p>
        </w:tc>
        <w:tc>
          <w:tcPr>
            <w:tcW w:w="260" w:type="dxa"/>
            <w:vAlign w:val="bottom"/>
            <w:gridSpan w:val="4"/>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001-40591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08/15/2025</w:t>
            </w:r>
          </w:p>
        </w:tc>
      </w:tr>
      <w:tr>
        <w:trPr>
          <w:trHeight w:val="151"/>
        </w:trPr>
        <w:tc>
          <w:tcPr>
            <w:tcW w:w="860" w:type="dxa"/>
            <w:vAlign w:val="bottom"/>
          </w:tcPr>
          <w:p>
            <w:pPr>
              <w:spacing w:after="0"/>
              <w:rPr>
                <w:sz w:val="13"/>
                <w:szCs w:val="13"/>
                <w:color w:val="auto"/>
              </w:rPr>
            </w:pPr>
          </w:p>
        </w:tc>
        <w:tc>
          <w:tcPr>
            <w:tcW w:w="3740" w:type="dxa"/>
            <w:vAlign w:val="bottom"/>
            <w:tcBorders>
              <w:bottom w:val="single" w:sz="8" w:color="0000EE"/>
            </w:tcBorders>
            <w:gridSpan w:val="9"/>
          </w:tcPr>
          <w:p>
            <w:pPr>
              <w:spacing w:after="0" w:line="151"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August 14, 2025, between the Company and Square Gate Master</w:t>
              </w:r>
            </w:hyperlink>
          </w:p>
        </w:tc>
        <w:tc>
          <w:tcPr>
            <w:tcW w:w="2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1"/>
        </w:trPr>
        <w:tc>
          <w:tcPr>
            <w:tcW w:w="860" w:type="dxa"/>
            <w:vAlign w:val="bottom"/>
          </w:tcPr>
          <w:p>
            <w:pPr>
              <w:spacing w:after="0"/>
              <w:rPr>
                <w:sz w:val="13"/>
                <w:szCs w:val="13"/>
                <w:color w:val="auto"/>
              </w:rPr>
            </w:pPr>
          </w:p>
        </w:tc>
        <w:tc>
          <w:tcPr>
            <w:tcW w:w="4020" w:type="dxa"/>
            <w:vAlign w:val="bottom"/>
            <w:gridSpan w:val="14"/>
          </w:tcPr>
          <w:p>
            <w:pPr>
              <w:spacing w:after="0" w:line="151"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Fund - Series 4.</w:t>
              </w:r>
            </w:hyperlink>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71608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type w:val="continuous"/>
        </w:sectPr>
      </w:pPr>
    </w:p>
    <w:bookmarkStart w:id="45" w:name="page46"/>
    <w:bookmarkEnd w:id="45"/>
    <w:tbl>
      <w:tblPr>
        <w:tblLayout w:type="fixed"/>
        <w:tblInd w:w="2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gridSpan w:val="3"/>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71"/>
        </w:trPr>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1"/>
        </w:trPr>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10.29</w:t>
            </w:r>
          </w:p>
        </w:tc>
        <w:tc>
          <w:tcPr>
            <w:tcW w:w="260" w:type="dxa"/>
            <w:vAlign w:val="bottom"/>
          </w:tcPr>
          <w:p>
            <w:pPr>
              <w:spacing w:after="0"/>
              <w:rPr>
                <w:sz w:val="13"/>
                <w:szCs w:val="13"/>
                <w:color w:val="auto"/>
              </w:rPr>
            </w:pPr>
          </w:p>
        </w:tc>
        <w:tc>
          <w:tcPr>
            <w:tcW w:w="3780" w:type="dxa"/>
            <w:vAlign w:val="bottom"/>
            <w:tcBorders>
              <w:bottom w:val="single" w:sz="8" w:color="0000EE"/>
            </w:tcBorders>
            <w:gridSpan w:val="14"/>
          </w:tcPr>
          <w:p>
            <w:pPr>
              <w:spacing w:after="0" w:line="151"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Amended  and  Restated  Amended  and  Restated  License,</w:t>
              </w:r>
            </w:hyperlink>
          </w:p>
        </w:tc>
        <w:tc>
          <w:tcPr>
            <w:tcW w:w="220" w:type="dxa"/>
            <w:vAlign w:val="bottom"/>
            <w:gridSpan w:val="2"/>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S-1</w:t>
            </w:r>
          </w:p>
        </w:tc>
        <w:tc>
          <w:tcPr>
            <w:tcW w:w="1360" w:type="dxa"/>
            <w:vAlign w:val="bottom"/>
            <w:gridSpan w:val="2"/>
          </w:tcPr>
          <w:p>
            <w:pPr>
              <w:jc w:val="center"/>
              <w:ind w:left="189"/>
              <w:spacing w:after="0" w:line="151" w:lineRule="exact"/>
              <w:rPr>
                <w:sz w:val="20"/>
                <w:szCs w:val="20"/>
                <w:color w:val="auto"/>
              </w:rPr>
            </w:pPr>
            <w:r>
              <w:rPr>
                <w:rFonts w:ascii="Times New Roman" w:cs="Times New Roman" w:eastAsia="Times New Roman" w:hAnsi="Times New Roman"/>
                <w:sz w:val="14"/>
                <w:szCs w:val="14"/>
                <w:color w:val="auto"/>
              </w:rPr>
              <w:t>333-293396</w:t>
            </w:r>
          </w:p>
        </w:tc>
        <w:tc>
          <w:tcPr>
            <w:tcW w:w="1120" w:type="dxa"/>
            <w:vAlign w:val="bottom"/>
            <w:gridSpan w:val="2"/>
          </w:tcPr>
          <w:p>
            <w:pPr>
              <w:jc w:val="center"/>
              <w:ind w:left="169"/>
              <w:spacing w:after="0" w:line="151" w:lineRule="exact"/>
              <w:rPr>
                <w:sz w:val="20"/>
                <w:szCs w:val="20"/>
                <w:color w:val="auto"/>
              </w:rPr>
            </w:pPr>
            <w:r>
              <w:rPr>
                <w:rFonts w:ascii="Times New Roman" w:cs="Times New Roman" w:eastAsia="Times New Roman" w:hAnsi="Times New Roman"/>
                <w:sz w:val="14"/>
                <w:szCs w:val="14"/>
                <w:color w:val="auto"/>
              </w:rPr>
              <w:t>10.40</w:t>
            </w:r>
          </w:p>
        </w:tc>
        <w:tc>
          <w:tcPr>
            <w:tcW w:w="1360" w:type="dxa"/>
            <w:vAlign w:val="bottom"/>
            <w:gridSpan w:val="2"/>
          </w:tcPr>
          <w:p>
            <w:pPr>
              <w:jc w:val="center"/>
              <w:ind w:left="189"/>
              <w:spacing w:after="0" w:line="151" w:lineRule="exact"/>
              <w:rPr>
                <w:sz w:val="20"/>
                <w:szCs w:val="20"/>
                <w:color w:val="auto"/>
              </w:rPr>
            </w:pPr>
            <w:r>
              <w:rPr>
                <w:rFonts w:ascii="Times New Roman" w:cs="Times New Roman" w:eastAsia="Times New Roman" w:hAnsi="Times New Roman"/>
                <w:sz w:val="14"/>
                <w:szCs w:val="14"/>
                <w:color w:val="auto"/>
              </w:rPr>
              <w:t>02/11/2026</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Borders>
              <w:bottom w:val="single" w:sz="8" w:color="0000EE"/>
            </w:tcBorders>
            <w:gridSpan w:val="12"/>
          </w:tcPr>
          <w:p>
            <w:pPr>
              <w:spacing w:after="0" w:line="151"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Research and Co-Development Agreement, dated November 17,</w:t>
              </w:r>
            </w:hyperlink>
          </w:p>
        </w:tc>
        <w:tc>
          <w:tcPr>
            <w:tcW w:w="26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Borders>
              <w:bottom w:val="single" w:sz="8" w:color="0000EE"/>
            </w:tcBorders>
            <w:gridSpan w:val="12"/>
          </w:tcPr>
          <w:p>
            <w:pPr>
              <w:spacing w:after="0" w:line="151"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2025, between the Company and Beijing Trimmune Biotech Co.,</w:t>
              </w:r>
            </w:hyperlink>
          </w:p>
        </w:tc>
        <w:tc>
          <w:tcPr>
            <w:tcW w:w="26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0000EE"/>
            </w:tcBorders>
          </w:tcPr>
          <w:p>
            <w:pPr>
              <w:spacing w:after="0" w:line="151" w:lineRule="exact"/>
              <w:rPr>
                <w:rFonts w:ascii="Times New Roman" w:cs="Times New Roman" w:eastAsia="Times New Roman" w:hAnsi="Times New Roman"/>
                <w:sz w:val="14"/>
                <w:szCs w:val="14"/>
                <w:color w:val="0000EE"/>
                <w:w w:val="95"/>
              </w:rPr>
            </w:pPr>
            <w:hyperlink r:id="rId109">
              <w:r>
                <w:rPr>
                  <w:rFonts w:ascii="Times New Roman" w:cs="Times New Roman" w:eastAsia="Times New Roman" w:hAnsi="Times New Roman"/>
                  <w:sz w:val="14"/>
                  <w:szCs w:val="14"/>
                  <w:color w:val="0000EE"/>
                  <w:w w:val="95"/>
                </w:rPr>
                <w:t>Ltd.</w:t>
              </w:r>
            </w:hyperlink>
          </w:p>
        </w:tc>
        <w:tc>
          <w:tcPr>
            <w:tcW w:w="3760" w:type="dxa"/>
            <w:vAlign w:val="bottom"/>
            <w:gridSpan w:val="15"/>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260" w:type="dxa"/>
            <w:vAlign w:val="bottom"/>
          </w:tcPr>
          <w:p>
            <w:pPr>
              <w:spacing w:after="0"/>
              <w:rPr>
                <w:sz w:val="14"/>
                <w:szCs w:val="14"/>
                <w:color w:val="auto"/>
              </w:rPr>
            </w:pPr>
          </w:p>
        </w:tc>
        <w:tc>
          <w:tcPr>
            <w:tcW w:w="37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Amendment 1 to Amended and Restated License, Research and</w:t>
              </w:r>
            </w:hyperlink>
          </w:p>
        </w:tc>
        <w:tc>
          <w:tcPr>
            <w:tcW w:w="260" w:type="dxa"/>
            <w:vAlign w:val="bottom"/>
            <w:gridSpan w:val="4"/>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333-293396</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10.43</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80" w:type="dxa"/>
            <w:vAlign w:val="bottom"/>
            <w:tcBorders>
              <w:bottom w:val="single" w:sz="8" w:color="0000EE"/>
            </w:tcBorders>
            <w:gridSpan w:val="14"/>
          </w:tcPr>
          <w:p>
            <w:pPr>
              <w:spacing w:after="0" w:line="151"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Co-Development Agreement, dated January 27, 2026, between</w:t>
              </w:r>
            </w:hyperlink>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20" w:type="dxa"/>
            <w:vAlign w:val="bottom"/>
            <w:tcBorders>
              <w:bottom w:val="single" w:sz="8" w:color="0000EE"/>
            </w:tcBorders>
            <w:gridSpan w:val="10"/>
          </w:tcPr>
          <w:p>
            <w:pPr>
              <w:spacing w:after="0" w:line="151"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the Company and Beijing Trimmune Biotech Co., Ltd.</w:t>
              </w:r>
            </w:hyperlink>
          </w:p>
        </w:tc>
        <w:tc>
          <w:tcPr>
            <w:tcW w:w="880" w:type="dxa"/>
            <w:vAlign w:val="bottom"/>
            <w:gridSpan w:val="6"/>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260" w:type="dxa"/>
            <w:vAlign w:val="bottom"/>
          </w:tcPr>
          <w:p>
            <w:pPr>
              <w:spacing w:after="0"/>
              <w:rPr>
                <w:sz w:val="14"/>
                <w:szCs w:val="14"/>
                <w:color w:val="auto"/>
              </w:rPr>
            </w:pPr>
          </w:p>
        </w:tc>
        <w:tc>
          <w:tcPr>
            <w:tcW w:w="37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Shareholder  Purchase  Agreement,  dated  October  10,  2025,</w:t>
              </w:r>
            </w:hyperlink>
          </w:p>
        </w:tc>
        <w:tc>
          <w:tcPr>
            <w:tcW w:w="240" w:type="dxa"/>
            <w:vAlign w:val="bottom"/>
            <w:gridSpan w:val="3"/>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333-293396</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10.44</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Borders>
              <w:bottom w:val="single" w:sz="8" w:color="0000EE"/>
            </w:tcBorders>
            <w:gridSpan w:val="12"/>
          </w:tcPr>
          <w:p>
            <w:pPr>
              <w:spacing w:after="0" w:line="151"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between co-founders of Beijing Trimmune Biotech Co., Ltd.,</w:t>
              </w:r>
            </w:hyperlink>
          </w:p>
        </w:tc>
        <w:tc>
          <w:tcPr>
            <w:tcW w:w="26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bottom w:val="single" w:sz="8" w:color="0000EE"/>
            </w:tcBorders>
            <w:gridSpan w:val="3"/>
          </w:tcPr>
          <w:p>
            <w:pPr>
              <w:spacing w:after="0" w:line="151"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including the Company</w:t>
              </w:r>
            </w:hyperlink>
          </w:p>
        </w:tc>
        <w:tc>
          <w:tcPr>
            <w:tcW w:w="2660" w:type="dxa"/>
            <w:vAlign w:val="bottom"/>
            <w:gridSpan w:val="13"/>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260" w:type="dxa"/>
            <w:vAlign w:val="bottom"/>
          </w:tcPr>
          <w:p>
            <w:pPr>
              <w:spacing w:after="0"/>
              <w:rPr>
                <w:sz w:val="14"/>
                <w:szCs w:val="14"/>
                <w:color w:val="auto"/>
              </w:rPr>
            </w:pPr>
          </w:p>
        </w:tc>
        <w:tc>
          <w:tcPr>
            <w:tcW w:w="378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Exclusive License Agreement 12-Month Suspension, dated May</w:t>
              </w:r>
            </w:hyperlink>
          </w:p>
        </w:tc>
        <w:tc>
          <w:tcPr>
            <w:tcW w:w="220" w:type="dxa"/>
            <w:vAlign w:val="bottom"/>
            <w:gridSpan w:val="2"/>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10.17</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08/18/2025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tcBorders>
              <w:bottom w:val="single" w:sz="8" w:color="0000EE"/>
            </w:tcBorders>
            <w:gridSpan w:val="9"/>
          </w:tcPr>
          <w:p>
            <w:pPr>
              <w:spacing w:after="0" w:line="151"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29, 2025, between the Company and Wugen, Inc.</w:t>
              </w:r>
            </w:hyperlink>
          </w:p>
        </w:tc>
        <w:tc>
          <w:tcPr>
            <w:tcW w:w="118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260" w:type="dxa"/>
            <w:vAlign w:val="bottom"/>
          </w:tcPr>
          <w:p>
            <w:pPr>
              <w:spacing w:after="0"/>
              <w:rPr>
                <w:sz w:val="14"/>
                <w:szCs w:val="14"/>
                <w:color w:val="auto"/>
              </w:rPr>
            </w:pPr>
          </w:p>
        </w:tc>
        <w:tc>
          <w:tcPr>
            <w:tcW w:w="37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Settlement Agreement and Release, dated July 13, 2024, by and</w:t>
              </w:r>
            </w:hyperlink>
          </w:p>
        </w:tc>
        <w:tc>
          <w:tcPr>
            <w:tcW w:w="240" w:type="dxa"/>
            <w:vAlign w:val="bottom"/>
            <w:gridSpan w:val="3"/>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10.6</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11/14/2024</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Borders>
              <w:bottom w:val="single" w:sz="8" w:color="0000EE"/>
            </w:tcBorders>
            <w:gridSpan w:val="12"/>
          </w:tcPr>
          <w:p>
            <w:pPr>
              <w:spacing w:after="0" w:line="151"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between the Company and Altor BioScience, LLC, NantCell,</w:t>
              </w:r>
            </w:hyperlink>
          </w:p>
        </w:tc>
        <w:tc>
          <w:tcPr>
            <w:tcW w:w="26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gridSpan w:val="16"/>
          </w:tcPr>
          <w:p>
            <w:pPr>
              <w:spacing w:after="0" w:line="151"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Inc., and ImmunityBio, Inc.</w:t>
              </w:r>
            </w:hyperlink>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w:t>
            </w:r>
          </w:p>
        </w:tc>
        <w:tc>
          <w:tcPr>
            <w:tcW w:w="260" w:type="dxa"/>
            <w:vAlign w:val="bottom"/>
          </w:tcPr>
          <w:p>
            <w:pPr>
              <w:spacing w:after="0"/>
              <w:rPr>
                <w:sz w:val="14"/>
                <w:szCs w:val="14"/>
                <w:color w:val="auto"/>
              </w:rPr>
            </w:pPr>
          </w:p>
        </w:tc>
        <w:tc>
          <w:tcPr>
            <w:tcW w:w="37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Placement  Agency  Agreement,  dated  February  17,  2026,</w:t>
              </w:r>
            </w:hyperlink>
          </w:p>
        </w:tc>
        <w:tc>
          <w:tcPr>
            <w:tcW w:w="260" w:type="dxa"/>
            <w:vAlign w:val="bottom"/>
            <w:gridSpan w:val="4"/>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02/19/2026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gridSpan w:val="16"/>
          </w:tcPr>
          <w:p>
            <w:pPr>
              <w:spacing w:after="0" w:line="151"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between the Company and Maxim Group LLC</w:t>
              </w:r>
            </w:hyperlink>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26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Form of Securities Purchase Agreement</w:t>
              </w:r>
            </w:hyperlink>
          </w:p>
        </w:tc>
        <w:tc>
          <w:tcPr>
            <w:tcW w:w="380" w:type="dxa"/>
            <w:vAlign w:val="bottom"/>
            <w:tcBorders>
              <w:top w:val="single" w:sz="8" w:color="0000EE"/>
            </w:tcBorders>
          </w:tcPr>
          <w:p>
            <w:pPr>
              <w:spacing w:after="0"/>
              <w:rPr>
                <w:sz w:val="14"/>
                <w:szCs w:val="14"/>
                <w:color w:val="auto"/>
              </w:rPr>
            </w:pPr>
          </w:p>
        </w:tc>
        <w:tc>
          <w:tcPr>
            <w:tcW w:w="1340" w:type="dxa"/>
            <w:vAlign w:val="bottom"/>
            <w:gridSpan w:val="8"/>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5/21/2026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260" w:type="dxa"/>
            <w:vAlign w:val="bottom"/>
          </w:tcPr>
          <w:p>
            <w:pPr>
              <w:spacing w:after="0"/>
              <w:rPr>
                <w:sz w:val="14"/>
                <w:szCs w:val="14"/>
                <w:color w:val="auto"/>
              </w:rPr>
            </w:pPr>
          </w:p>
        </w:tc>
        <w:tc>
          <w:tcPr>
            <w:tcW w:w="37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Form of Registration Rights Agreement by and between the</w:t>
              </w:r>
            </w:hyperlink>
          </w:p>
        </w:tc>
        <w:tc>
          <w:tcPr>
            <w:tcW w:w="260" w:type="dxa"/>
            <w:vAlign w:val="bottom"/>
            <w:gridSpan w:val="4"/>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5/21/2026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gridSpan w:val="16"/>
          </w:tcPr>
          <w:p>
            <w:pPr>
              <w:spacing w:after="0" w:line="151"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Company and the Investors</w:t>
              </w:r>
            </w:hyperlink>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w:t>
            </w:r>
          </w:p>
        </w:tc>
        <w:tc>
          <w:tcPr>
            <w:tcW w:w="260" w:type="dxa"/>
            <w:vAlign w:val="bottom"/>
          </w:tcPr>
          <w:p>
            <w:pPr>
              <w:spacing w:after="0"/>
              <w:rPr>
                <w:sz w:val="14"/>
                <w:szCs w:val="14"/>
                <w:color w:val="auto"/>
              </w:rPr>
            </w:pPr>
          </w:p>
        </w:tc>
        <w:tc>
          <w:tcPr>
            <w:tcW w:w="37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Form of Placement Agency Agreement, by and between the</w:t>
              </w:r>
            </w:hyperlink>
          </w:p>
        </w:tc>
        <w:tc>
          <w:tcPr>
            <w:tcW w:w="260" w:type="dxa"/>
            <w:vAlign w:val="bottom"/>
            <w:gridSpan w:val="4"/>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001-40591</w:t>
            </w:r>
          </w:p>
        </w:tc>
        <w:tc>
          <w:tcPr>
            <w:tcW w:w="11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10.3</w:t>
            </w:r>
          </w:p>
        </w:tc>
        <w:tc>
          <w:tcPr>
            <w:tcW w:w="13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5/21/2026</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tcBorders>
              <w:bottom w:val="single" w:sz="8" w:color="0000EE"/>
            </w:tcBorders>
            <w:gridSpan w:val="6"/>
          </w:tcPr>
          <w:p>
            <w:pPr>
              <w:spacing w:after="0" w:line="151"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Company and E.F. Hutton &amp; Co. LLC</w:t>
              </w:r>
            </w:hyperlink>
          </w:p>
        </w:tc>
        <w:tc>
          <w:tcPr>
            <w:tcW w:w="1820" w:type="dxa"/>
            <w:vAlign w:val="bottom"/>
            <w:gridSpan w:val="10"/>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10.38</w:t>
            </w:r>
          </w:p>
        </w:tc>
        <w:tc>
          <w:tcPr>
            <w:tcW w:w="260" w:type="dxa"/>
            <w:vAlign w:val="bottom"/>
          </w:tcPr>
          <w:p>
            <w:pPr>
              <w:spacing w:after="0"/>
              <w:rPr>
                <w:sz w:val="14"/>
                <w:szCs w:val="14"/>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Form of Lock-Up Agreement</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260" w:type="dxa"/>
            <w:vAlign w:val="bottom"/>
          </w:tcPr>
          <w:p>
            <w:pPr>
              <w:spacing w:after="0"/>
              <w:rPr>
                <w:sz w:val="14"/>
                <w:szCs w:val="14"/>
                <w:color w:val="auto"/>
              </w:rPr>
            </w:pPr>
          </w:p>
        </w:tc>
        <w:tc>
          <w:tcPr>
            <w:tcW w:w="3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58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4"/>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260" w:type="dxa"/>
            <w:vAlign w:val="bottom"/>
          </w:tcPr>
          <w:p>
            <w:pPr>
              <w:spacing w:after="0"/>
              <w:rPr>
                <w:sz w:val="17"/>
                <w:szCs w:val="17"/>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Opinion of Clark Hill PLC (included in Exhibit 5.1)</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101.INS</w:t>
            </w:r>
          </w:p>
        </w:tc>
        <w:tc>
          <w:tcPr>
            <w:tcW w:w="26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26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101.CAL</w:t>
            </w:r>
          </w:p>
        </w:tc>
        <w:tc>
          <w:tcPr>
            <w:tcW w:w="260" w:type="dxa"/>
            <w:vAlign w:val="bottom"/>
          </w:tcPr>
          <w:p>
            <w:pPr>
              <w:spacing w:after="0"/>
              <w:rPr>
                <w:sz w:val="15"/>
                <w:szCs w:val="15"/>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Document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101.DEF</w:t>
            </w:r>
          </w:p>
        </w:tc>
        <w:tc>
          <w:tcPr>
            <w:tcW w:w="260" w:type="dxa"/>
            <w:vAlign w:val="bottom"/>
          </w:tcPr>
          <w:p>
            <w:pPr>
              <w:spacing w:after="0"/>
              <w:rPr>
                <w:sz w:val="15"/>
                <w:szCs w:val="15"/>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Document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101.LAB</w:t>
            </w:r>
          </w:p>
        </w:tc>
        <w:tc>
          <w:tcPr>
            <w:tcW w:w="26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101.PRE</w:t>
            </w:r>
          </w:p>
        </w:tc>
        <w:tc>
          <w:tcPr>
            <w:tcW w:w="260" w:type="dxa"/>
            <w:vAlign w:val="bottom"/>
          </w:tcPr>
          <w:p>
            <w:pPr>
              <w:spacing w:after="0"/>
              <w:rPr>
                <w:sz w:val="15"/>
                <w:szCs w:val="15"/>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Document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5"/>
                <w:szCs w:val="15"/>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260" w:type="dxa"/>
            <w:vAlign w:val="bottom"/>
          </w:tcPr>
          <w:p>
            <w:pPr>
              <w:spacing w:after="0"/>
              <w:rPr>
                <w:sz w:val="14"/>
                <w:szCs w:val="14"/>
                <w:color w:val="auto"/>
              </w:rPr>
            </w:pPr>
          </w:p>
        </w:tc>
        <w:tc>
          <w:tcPr>
            <w:tcW w:w="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3060" w:type="dxa"/>
            <w:vAlign w:val="bottom"/>
            <w:gridSpan w:val="14"/>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Indicates a management contract or compensatory plan or arrangement.</w:t>
      </w:r>
    </w:p>
    <w:p>
      <w:pPr>
        <w:spacing w:after="0" w:line="181" w:lineRule="exact"/>
        <w:rPr>
          <w:sz w:val="20"/>
          <w:szCs w:val="20"/>
          <w:color w:val="auto"/>
        </w:rPr>
      </w:pPr>
    </w:p>
    <w:p>
      <w:pPr>
        <w:ind w:firstLine="6"/>
        <w:spacing w:after="0" w:line="293" w:lineRule="auto"/>
        <w:tabs>
          <w:tab w:leader="none" w:pos="196"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spacing w:after="0" w:line="120" w:lineRule="exact"/>
        <w:rPr>
          <w:sz w:val="20"/>
          <w:szCs w:val="20"/>
          <w:color w:val="auto"/>
        </w:rPr>
      </w:pPr>
    </w:p>
    <w:p>
      <w:pPr>
        <w:ind w:firstLine="6"/>
        <w:spacing w:after="0" w:line="293" w:lineRule="auto"/>
        <w:tabs>
          <w:tab w:leader="none" w:pos="108"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information in this document has been excluded pursuant to Item 601(a)(5) or (a)(6) of Regulation S-K. The Registrant agrees to furnish supplementally such information to the SEC upon request.</w:t>
      </w:r>
    </w:p>
    <w:p>
      <w:pPr>
        <w:spacing w:after="0" w:line="120" w:lineRule="exact"/>
        <w:rPr>
          <w:sz w:val="20"/>
          <w:szCs w:val="20"/>
          <w:color w:val="auto"/>
        </w:rPr>
      </w:pPr>
    </w:p>
    <w:p>
      <w:pPr>
        <w:ind w:left="120" w:hanging="114"/>
        <w:spacing w:after="0"/>
        <w:tabs>
          <w:tab w:leader="none" w:pos="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Opinion of Clark Hill PLC to be filed by amendment.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2"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registration statement on Form S-1 to be signed on its behalf by the undersigned, in the city of Miramar, State of Florida, on June 8, 2026.</w:t>
      </w:r>
    </w:p>
    <w:p>
      <w:pPr>
        <w:spacing w:after="0" w:line="1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HCW BIOLOGICS INC.</w:t>
      </w:r>
    </w:p>
    <w:p>
      <w:pPr>
        <w:spacing w:after="0" w:line="181"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Hing C. Wong</w:t>
      </w:r>
    </w:p>
    <w:p>
      <w:pPr>
        <w:spacing w:after="0" w:line="26"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Hing C.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-100965</wp:posOffset>
            </wp:positionV>
            <wp:extent cx="32175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9">
                      <a:extLst>
                        <a:ext uri="{28A0092B-C50C-407E-A947-70E740481C1C}"/>
                      </a:extLst>
                    </a:blip>
                    <a:srcRect/>
                    <a:stretch>
                      <a:fillRect/>
                    </a:stretch>
                  </pic:blipFill>
                  <pic:spPr bwMode="auto">
                    <a:xfrm>
                      <a:off x="0" y="0"/>
                      <a:ext cx="3217545" cy="6985"/>
                    </a:xfrm>
                    <a:prstGeom prst="rect">
                      <a:avLst/>
                    </a:prstGeom>
                    <a:noFill/>
                  </pic:spPr>
                </pic:pic>
              </a:graphicData>
            </a:graphic>
          </wp:anchor>
        </w:drawing>
      </w:r>
    </w:p>
    <w:p>
      <w:pPr>
        <w:spacing w:after="0" w:line="1"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i w:val="1"/>
          <w:iCs w:val="1"/>
          <w:color w:val="auto"/>
        </w:rPr>
        <w:t>Founder &amp; Chief Executive Officer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Hing C. Wong,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3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registration statement on Form S-1 to be signed on its behalf by the undersigned, thereunto duly authorized.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Scott T. Garrett</w:t>
            </w: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8, 2026</w:t>
            </w:r>
          </w:p>
        </w:tc>
      </w:tr>
      <w:tr>
        <w:trPr>
          <w:trHeight w:val="176"/>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Scott T. Garrett</w:t>
            </w: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2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Rebecca Byam</w:t>
            </w: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Chief Financial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8, 2026</w:t>
            </w:r>
          </w:p>
        </w:tc>
      </w:tr>
      <w:tr>
        <w:trPr>
          <w:trHeight w:val="176"/>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Rebecca Byam</w:t>
            </w: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2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Hing C. Wong</w:t>
            </w: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Chief Executive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8, 2026</w:t>
            </w:r>
          </w:p>
        </w:tc>
      </w:tr>
      <w:tr>
        <w:trPr>
          <w:trHeight w:val="176"/>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Hing C. Wong</w:t>
            </w: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2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Rick S. Greene</w:t>
            </w: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8, 2026</w:t>
            </w:r>
          </w:p>
        </w:tc>
      </w:tr>
      <w:tr>
        <w:trPr>
          <w:trHeight w:val="176"/>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Rick S. Greene</w:t>
            </w: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2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Lisa M. Giles</w:t>
            </w: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8, 2026</w:t>
            </w:r>
          </w:p>
        </w:tc>
      </w:tr>
      <w:tr>
        <w:trPr>
          <w:trHeight w:val="176"/>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Lisa M. Giles</w:t>
            </w: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28"/>
        </w:trPr>
        <w:tc>
          <w:tcPr>
            <w:tcW w:w="3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4"/>
                <w:szCs w:val="14"/>
                <w:color w:val="auto"/>
              </w:rPr>
              <w:t>II-11</w:t>
            </w: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0"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10.38</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LOCK-UP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HCW Biologics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2929 N. Commerce Parkway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Miramar, FL 33025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 </w:t>
      </w:r>
      <w:r>
        <w:rPr>
          <w:rFonts w:ascii="Times New Roman" w:cs="Times New Roman" w:eastAsia="Times New Roman" w:hAnsi="Times New Roman"/>
          <w:sz w:val="14"/>
          <w:szCs w:val="14"/>
          <w:color w:val="auto"/>
        </w:rPr>
        <w:t>Placement Agency Agreement, dated as of [_______], 2026 (the “Placement Agency Agreement”), between HCW Biologics Inc. (the “Company”) and E.F. Hutton &amp; Co. (the “Placement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1" w:lineRule="exact"/>
        <w:rPr>
          <w:sz w:val="20"/>
          <w:szCs w:val="20"/>
          <w:color w:val="auto"/>
        </w:rPr>
      </w:pPr>
    </w:p>
    <w:p>
      <w:pPr>
        <w:jc w:val="both"/>
        <w:ind w:firstLine="513"/>
        <w:spacing w:after="0" w:line="258" w:lineRule="auto"/>
        <w:rPr>
          <w:sz w:val="20"/>
          <w:szCs w:val="20"/>
          <w:color w:val="auto"/>
        </w:rPr>
      </w:pPr>
      <w:r>
        <w:rPr>
          <w:rFonts w:ascii="Times New Roman" w:cs="Times New Roman" w:eastAsia="Times New Roman" w:hAnsi="Times New Roman"/>
          <w:sz w:val="14"/>
          <w:szCs w:val="14"/>
          <w:color w:val="auto"/>
        </w:rPr>
        <w:t>Defined terms not otherwise defined in this letter agreement (the “Letter Agreement”) shall have the meanings set forth in the Placement Agency Agreement. In satisfaction of a condition of the Company’s obligations under the Placement Agreement, the undersigned irrevocably agrees with the Company that, from the date hereof until one hundred eighty (180) days after the Closing Period (such period, the “</w:t>
      </w:r>
      <w:r>
        <w:rPr>
          <w:rFonts w:ascii="Times New Roman" w:cs="Times New Roman" w:eastAsia="Times New Roman" w:hAnsi="Times New Roman"/>
          <w:sz w:val="14"/>
          <w:szCs w:val="14"/>
          <w:b w:val="1"/>
          <w:bCs w:val="1"/>
          <w:color w:val="auto"/>
        </w:rPr>
        <w:t>Restriction Period</w:t>
      </w:r>
      <w:r>
        <w:rPr>
          <w:rFonts w:ascii="Times New Roman" w:cs="Times New Roman" w:eastAsia="Times New Roman" w:hAnsi="Times New Roman"/>
          <w:sz w:val="14"/>
          <w:szCs w:val="14"/>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to the extent such Affiliate transaction would be required to be reported by the undersigned during the Restriction Period with the Securities and Exchange Commission in accordance with Section 13 or Section 16 of the Exchange Act),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with respect to, any shares of Common Stock of the Company or securities convertible, exchangeable or exercisable into, shares of Common Stock of the Company beneficially owned, held or hereafter acquired by the undersigned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other than Securities acquired in the Offering, or make any demand for or exercise any right or cause to be filed a registration, including any amendments thereto, with respect to the registration of any shares of Common Stock or Common Stock Equivalents or publicly disclose the intention to do any of the foregoing. Beneficial ownership shall be calculated in accordance with Section 13(d) of the Exchange Act. The undersigned acknowledges that the Company shall provide written notice to the transfer agent of the Company to inform them of the Restriction Period, which written notice shall include notification by email. In order to enforce this covenant, the Company shall impose irrevocable stop-transfer instructions preventing the transfer agent of the Company from effecting any actions in violation of this Letter Agreement.</w:t>
      </w:r>
    </w:p>
    <w:p>
      <w:pPr>
        <w:spacing w:after="0" w:line="318" w:lineRule="exact"/>
        <w:rPr>
          <w:sz w:val="20"/>
          <w:szCs w:val="20"/>
          <w:color w:val="auto"/>
        </w:rPr>
      </w:pPr>
    </w:p>
    <w:p>
      <w:pPr>
        <w:jc w:val="both"/>
        <w:ind w:firstLine="513"/>
        <w:spacing w:after="0" w:line="290" w:lineRule="auto"/>
        <w:rPr>
          <w:sz w:val="20"/>
          <w:szCs w:val="20"/>
          <w:color w:val="auto"/>
        </w:rPr>
      </w:pPr>
      <w:r>
        <w:rPr>
          <w:rFonts w:ascii="Times New Roman" w:cs="Times New Roman" w:eastAsia="Times New Roman" w:hAnsi="Times New Roman"/>
          <w:sz w:val="14"/>
          <w:szCs w:val="14"/>
          <w:color w:val="auto"/>
        </w:rPr>
        <w:t>The Placement Agent shall serve as the sole lock-up release agent for the Restriction Period. No release of any obligation under this Letter Agreement shall be effective without the prior written consent of the Placement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8" w:name="page49"/>
    <w:bookmarkEnd w:id="48"/>
    <w:p>
      <w:pPr>
        <w:jc w:val="both"/>
        <w:ind w:firstLine="513"/>
        <w:spacing w:after="0" w:line="263" w:lineRule="auto"/>
        <w:rPr>
          <w:sz w:val="20"/>
          <w:szCs w:val="20"/>
          <w:color w:val="auto"/>
        </w:rPr>
      </w:pPr>
      <w:r>
        <w:rPr>
          <w:rFonts w:ascii="Times New Roman" w:cs="Times New Roman" w:eastAsia="Times New Roman" w:hAnsi="Times New Roman"/>
          <w:sz w:val="14"/>
          <w:szCs w:val="14"/>
          <w:color w:val="auto"/>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during the Restricted Period, and (4) neither the undersigned nor any donee, trustee, distributee or transferee, as the case may be, otherwise voluntarily effects any public filing or report regarding such transfers during the Restricted Period, with respect to transfer:</w:t>
      </w:r>
    </w:p>
    <w:p>
      <w:pPr>
        <w:spacing w:after="0" w:line="144" w:lineRule="exact"/>
        <w:rPr>
          <w:sz w:val="20"/>
          <w:szCs w:val="20"/>
          <w:color w:val="auto"/>
        </w:rPr>
      </w:pPr>
    </w:p>
    <w:p>
      <w:pPr>
        <w:ind w:left="1040" w:hanging="521"/>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bona fide gift or gifts;</w:t>
      </w:r>
    </w:p>
    <w:p>
      <w:pPr>
        <w:spacing w:after="0" w:line="181" w:lineRule="exact"/>
        <w:rPr>
          <w:rFonts w:ascii="Times New Roman" w:cs="Times New Roman" w:eastAsia="Times New Roman" w:hAnsi="Times New Roman"/>
          <w:sz w:val="14"/>
          <w:szCs w:val="14"/>
          <w:color w:val="auto"/>
        </w:rPr>
      </w:pPr>
    </w:p>
    <w:p>
      <w:pPr>
        <w:ind w:left="1040" w:hanging="521"/>
        <w:spacing w:after="0" w:line="290" w:lineRule="auto"/>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124" w:lineRule="exact"/>
        <w:rPr>
          <w:rFonts w:ascii="Times New Roman" w:cs="Times New Roman" w:eastAsia="Times New Roman" w:hAnsi="Times New Roman"/>
          <w:sz w:val="14"/>
          <w:szCs w:val="14"/>
          <w:color w:val="auto"/>
        </w:rPr>
      </w:pPr>
    </w:p>
    <w:p>
      <w:pPr>
        <w:ind w:left="1040" w:hanging="521"/>
        <w:spacing w:after="0" w:line="290" w:lineRule="auto"/>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corporation, partnership, limited liability company, or other business entity all of the equity holders of which consist of the undersigned and/or the immediate family of the undersigned;</w:t>
      </w:r>
    </w:p>
    <w:p>
      <w:pPr>
        <w:spacing w:after="0" w:line="124" w:lineRule="exact"/>
        <w:rPr>
          <w:rFonts w:ascii="Times New Roman" w:cs="Times New Roman" w:eastAsia="Times New Roman" w:hAnsi="Times New Roman"/>
          <w:sz w:val="14"/>
          <w:szCs w:val="14"/>
          <w:color w:val="auto"/>
        </w:rPr>
      </w:pPr>
    </w:p>
    <w:p>
      <w:pPr>
        <w:jc w:val="both"/>
        <w:ind w:left="1040" w:hanging="521"/>
        <w:spacing w:after="0" w:line="283" w:lineRule="auto"/>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p>
      <w:pPr>
        <w:spacing w:after="0" w:line="304"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undersigned is a trust, to the beneficiary of such trust;</w:t>
      </w:r>
    </w:p>
    <w:p>
      <w:pPr>
        <w:spacing w:after="0" w:line="181"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such as pursuant to a qualified domestic order, divorce settlement, divorce decree, separation agreement or other court order;</w:t>
      </w:r>
    </w:p>
    <w:p>
      <w:pPr>
        <w:spacing w:after="0" w:line="181"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charity or educational institution;</w:t>
      </w:r>
    </w:p>
    <w:p>
      <w:pPr>
        <w:spacing w:after="0" w:line="181"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will, other testamentary document or intestate succession to the legal representative, heir, beneficiary or a member of the immediate family of the undersigned; or</w:t>
      </w:r>
    </w:p>
    <w:p>
      <w:pPr>
        <w:spacing w:after="0" w:line="181"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Common Stock made pursuant to and in accordance with a trading plan pursuant to Rule 10b5-1 under the Exchange Act existing on the date hereof.</w:t>
      </w:r>
    </w:p>
    <w:p>
      <w:pPr>
        <w:spacing w:after="0" w:line="181" w:lineRule="exact"/>
        <w:rPr>
          <w:sz w:val="20"/>
          <w:szCs w:val="20"/>
          <w:color w:val="auto"/>
        </w:rPr>
      </w:pPr>
    </w:p>
    <w:p>
      <w:pPr>
        <w:jc w:val="both"/>
        <w:ind w:firstLine="513"/>
        <w:spacing w:after="0" w:line="263" w:lineRule="auto"/>
        <w:rPr>
          <w:sz w:val="20"/>
          <w:szCs w:val="20"/>
          <w:color w:val="auto"/>
        </w:rPr>
      </w:pPr>
      <w:r>
        <w:rPr>
          <w:rFonts w:ascii="Times New Roman" w:cs="Times New Roman" w:eastAsia="Times New Roman" w:hAnsi="Times New Roman"/>
          <w:sz w:val="14"/>
          <w:szCs w:val="14"/>
          <w:color w:val="auto"/>
        </w:rPr>
        <w:t>In addition, notwithstanding the foregoing, this Letter Agreement shall not restrict (i) the delivery of shares of Common Stock to the undersigned upon exercise of any options or settlement of restricted stock units or other equity awards granted under any employee benefit plan of the Company, or the exercise of warrants; provided in each case that any shares of Common Stock or Securities acquired in connection with any such exercise or settlement will be subject to the restrictions set forth in this Letter Agreement, (ii) the withholding of shares of Common Stock to cover the payment of the exercise prices or the payment of taxes associated with the exercise or settlement of equity set forth in (i) above, or (iii) the issuance to the undersigned of awards by the Company under its equity incentive plans or the issuance of warrants.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9" w:name="page50"/>
    <w:bookmarkEnd w:id="49"/>
    <w:p>
      <w:pPr>
        <w:jc w:val="both"/>
        <w:ind w:firstLine="513"/>
        <w:spacing w:after="0" w:line="272" w:lineRule="auto"/>
        <w:rPr>
          <w:sz w:val="20"/>
          <w:szCs w:val="20"/>
          <w:color w:val="auto"/>
        </w:rPr>
      </w:pPr>
      <w:r>
        <w:rPr>
          <w:rFonts w:ascii="Times New Roman" w:cs="Times New Roman" w:eastAsia="Times New Roman" w:hAnsi="Times New Roman"/>
          <w:sz w:val="14"/>
          <w:szCs w:val="14"/>
          <w:color w:val="auto"/>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spacing w:after="0" w:line="137" w:lineRule="exact"/>
        <w:rPr>
          <w:sz w:val="20"/>
          <w:szCs w:val="20"/>
          <w:color w:val="auto"/>
        </w:rPr>
      </w:pPr>
    </w:p>
    <w:p>
      <w:pPr>
        <w:jc w:val="both"/>
        <w:ind w:firstLine="513"/>
        <w:spacing w:after="0" w:line="266" w:lineRule="auto"/>
        <w:rPr>
          <w:sz w:val="20"/>
          <w:szCs w:val="20"/>
          <w:color w:val="auto"/>
        </w:rPr>
      </w:pPr>
      <w:r>
        <w:rPr>
          <w:rFonts w:ascii="Times New Roman" w:cs="Times New Roman" w:eastAsia="Times New Roman" w:hAnsi="Times New Roman"/>
          <w:sz w:val="14"/>
          <w:szCs w:val="14"/>
          <w:color w:val="auto"/>
        </w:rPr>
        <w:t>The undersigned acknowledges that the execution, delivery and performance of this Letter Agreement is a material inducement to the Placement Agent to complete the transactions contemplated by the Placement Agency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Placement Agency Agreement.</w:t>
      </w:r>
    </w:p>
    <w:p>
      <w:pPr>
        <w:spacing w:after="0" w:line="141" w:lineRule="exact"/>
        <w:rPr>
          <w:sz w:val="20"/>
          <w:szCs w:val="20"/>
          <w:color w:val="auto"/>
        </w:rPr>
      </w:pPr>
    </w:p>
    <w:p>
      <w:pPr>
        <w:jc w:val="both"/>
        <w:ind w:firstLine="513"/>
        <w:spacing w:after="0" w:line="290" w:lineRule="auto"/>
        <w:rPr>
          <w:sz w:val="20"/>
          <w:szCs w:val="20"/>
          <w:color w:val="auto"/>
        </w:rPr>
      </w:pPr>
      <w:r>
        <w:rPr>
          <w:rFonts w:ascii="Times New Roman" w:cs="Times New Roman" w:eastAsia="Times New Roman" w:hAnsi="Times New Roman"/>
          <w:sz w:val="14"/>
          <w:szCs w:val="14"/>
          <w:color w:val="auto"/>
        </w:rPr>
        <w:t>The undersigned understands that, if the Agreement does not become effective, or if the Agreement (other than the provisions thereof which survive termination) shall terminate or be terminated prior to payment for and delivery of the Common Stock to be sold thereunder, the undersigned shall be released from all obligations under this Letter Agreement.</w:t>
      </w:r>
    </w:p>
    <w:p>
      <w:pPr>
        <w:spacing w:after="0" w:line="124" w:lineRule="exact"/>
        <w:rPr>
          <w:sz w:val="20"/>
          <w:szCs w:val="20"/>
          <w:color w:val="auto"/>
        </w:rPr>
      </w:pPr>
    </w:p>
    <w:p>
      <w:pPr>
        <w:jc w:val="both"/>
        <w:ind w:firstLine="513"/>
        <w:spacing w:after="0" w:line="263" w:lineRule="auto"/>
        <w:rPr>
          <w:sz w:val="20"/>
          <w:szCs w:val="20"/>
          <w:color w:val="auto"/>
        </w:rPr>
      </w:pPr>
      <w:r>
        <w:rPr>
          <w:rFonts w:ascii="Times New Roman" w:cs="Times New Roman" w:eastAsia="Times New Roman" w:hAnsi="Times New Roman"/>
          <w:sz w:val="14"/>
          <w:szCs w:val="14"/>
          <w:color w:val="auto"/>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Nothing contained herein shall be deemed to limit in any way any right to serve process in any manner permitted by law. The undersigned agrees and understands that this Letter Agreement does not intend to create any relationship between the undersigned and the Placement Agent and that the Placement Agent is not entitled to cast any votes on the matters herein contemplated and that no issuance or sale of the Securities is created or intended by virtue of this Letter Agreement.</w:t>
      </w:r>
    </w:p>
    <w:p>
      <w:pPr>
        <w:spacing w:after="0" w:line="144" w:lineRule="exact"/>
        <w:rPr>
          <w:sz w:val="20"/>
          <w:szCs w:val="20"/>
          <w:color w:val="auto"/>
        </w:rPr>
      </w:pPr>
    </w:p>
    <w:p>
      <w:pPr>
        <w:jc w:val="both"/>
        <w:ind w:firstLine="513"/>
        <w:spacing w:after="0" w:line="290" w:lineRule="auto"/>
        <w:rPr>
          <w:sz w:val="20"/>
          <w:szCs w:val="20"/>
          <w:color w:val="auto"/>
        </w:rPr>
      </w:pPr>
      <w:r>
        <w:rPr>
          <w:rFonts w:ascii="Times New Roman" w:cs="Times New Roman" w:eastAsia="Times New Roman" w:hAnsi="Times New Roman"/>
          <w:sz w:val="14"/>
          <w:szCs w:val="14"/>
          <w:color w:val="auto"/>
        </w:rPr>
        <w:t>This Letter Agreement shall be binding on successors and assigns of the undersigned with respect to the Securities and any such successor or assign shall enter into a similar agreement for the benefit of the Placement Agent.</w:t>
      </w:r>
    </w:p>
    <w:p>
      <w:pPr>
        <w:spacing w:after="0" w:line="122" w:lineRule="exact"/>
        <w:rPr>
          <w:sz w:val="20"/>
          <w:szCs w:val="20"/>
          <w:color w:val="auto"/>
        </w:rPr>
      </w:pPr>
    </w:p>
    <w:p>
      <w:pPr>
        <w:ind w:left="5600" w:right="4400" w:hanging="1194"/>
        <w:spacing w:after="0" w:line="548" w:lineRule="auto"/>
        <w:tabs>
          <w:tab w:leader="none" w:pos="4647"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SIGNATURE PAGE FOLLOWS*** </w:t>
      </w: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608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0" w:name="page51"/>
    <w:bookmarkEnd w:id="50"/>
    <w:p>
      <w:pPr>
        <w:ind w:left="3960"/>
        <w:spacing w:after="0"/>
        <w:rPr>
          <w:sz w:val="20"/>
          <w:szCs w:val="20"/>
          <w:color w:val="auto"/>
        </w:rPr>
      </w:pPr>
      <w:r>
        <w:rPr>
          <w:rFonts w:ascii="Times New Roman" w:cs="Times New Roman" w:eastAsia="Times New Roman" w:hAnsi="Times New Roman"/>
          <w:sz w:val="14"/>
          <w:szCs w:val="14"/>
          <w:color w:val="auto"/>
        </w:rPr>
        <w:t>[SIGNATURE PAGE TO THE LOCK-UP AGREEMENT]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Letter Agreement may be executed in two or more counterparts, all of which when taken together may be considered one and the same agreement.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35090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3">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35090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4">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Position in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350901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5">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233045</wp:posOffset>
            </wp:positionV>
            <wp:extent cx="35090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6">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347980</wp:posOffset>
            </wp:positionV>
            <wp:extent cx="35090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7">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By signing below, the Company agrees to enforce the restrictions on transfer set forth in this Letter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HCW Biologics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0" w:type="dxa"/>
            <w:vAlign w:val="bottom"/>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r>
      <w:tr>
        <w:trPr>
          <w:trHeight w:val="148"/>
        </w:trPr>
        <w:tc>
          <w:tcPr>
            <w:tcW w:w="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2"/>
                <w:szCs w:val="12"/>
                <w:color w:val="auto"/>
              </w:rPr>
            </w:pPr>
          </w:p>
        </w:tc>
        <w:tc>
          <w:tcPr>
            <w:tcW w:w="50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Hing C. Wong, Ph.D.</w:t>
            </w:r>
          </w:p>
        </w:tc>
      </w:tr>
      <w:tr>
        <w:trPr>
          <w:trHeight w:val="185"/>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8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552"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of HCW Biologics, Inc. on Form S-1 of our report dated March 31, 2026 on the financial statements of HCW Biologics, Inc. appearing in the 2025 Form 10-K of HCW Biologics, Inc., and to the reference to us under the heading “Experts” in the prospectus.</w:t>
      </w:r>
    </w:p>
    <w:p>
      <w:pPr>
        <w:spacing w:after="0" w:line="1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15875</wp:posOffset>
            </wp:positionV>
            <wp:extent cx="357695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9">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Indianapolis, Indiana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224155</wp:posOffset>
            </wp:positionV>
            <wp:extent cx="71608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2" w:name="page53"/>
    <w:bookmarkEnd w:id="52"/>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HCW Biologics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3"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ind w:left="120"/>
              <w:spacing w:after="0" w:line="118" w:lineRule="exact"/>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Offering</w:t>
            </w:r>
          </w:p>
        </w:tc>
        <w:tc>
          <w:tcPr>
            <w:tcW w:w="4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80"/>
              <w:spacing w:after="0" w:line="17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right w:val="single" w:sz="8" w:color="auto"/>
            </w:tcBorders>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4"/>
                <w:szCs w:val="14"/>
                <w:color w:val="auto"/>
              </w:rPr>
            </w:pPr>
          </w:p>
        </w:tc>
        <w:tc>
          <w:tcPr>
            <w:tcW w:w="7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40" w:type="dxa"/>
            <w:vAlign w:val="bottom"/>
            <w:shd w:val="clear" w:color="auto" w:fill="E7E7E2"/>
          </w:tcPr>
          <w:p>
            <w:pPr>
              <w:jc w:val="center"/>
              <w:spacing w:after="0" w:line="171"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4"/>
                <w:szCs w:val="14"/>
                <w:color w:val="auto"/>
              </w:rPr>
            </w:pPr>
          </w:p>
        </w:tc>
        <w:tc>
          <w:tcPr>
            <w:tcW w:w="9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5,693,950</w:t>
            </w: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$ 1.68</w:t>
            </w:r>
          </w:p>
        </w:tc>
        <w:tc>
          <w:tcPr>
            <w:tcW w:w="4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$ 1,321.04</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w w:val="98"/>
              </w:rPr>
              <w:t>9,565,836.00</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$ 1,321.04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9,565,836.00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$ 1,321.04</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right="140"/>
        <w:spacing w:after="0"/>
        <w:rPr>
          <w:sz w:val="20"/>
          <w:szCs w:val="20"/>
          <w:color w:val="auto"/>
        </w:rPr>
      </w:pPr>
      <w:r>
        <w:rPr>
          <w:rFonts w:ascii="Arial" w:cs="Arial" w:eastAsia="Arial" w:hAnsi="Arial"/>
          <w:sz w:val="17"/>
          <w:szCs w:val="17"/>
          <w:color w:val="auto"/>
        </w:rPr>
        <w:t>Pursuant to Rule 416 under the Securities Act of 1933, as amended (the "Securities Act"), the shares of Common Stock being registered hereby include an indeterminate number of shares of Common Stock that may be issuable as a result of stock splits, stock dividends or similar transactions. The shares of Common Stock being registered for resale consist of (i) 427,046 shares of Common Stock issued on May 22, 2026 and (ii) up to 5,266,904 shares of Common Stock issuable upon exercise of pre-funded warrants and common stock purchase warrants issued on May 22, 2026. Estimated solely for purposes of calculating the registration fee pursuant to Rule 457(c) under the Securities Act based on the average of the high and low sale prices of the registrant's Common Stock on The Nasdaq Capital Market on June 3, 2026. The registrant will not receive any proceeds from the sale of the shares of Common Stock by the selling stockholders. Proceeds from the exercise of pre-funded warrants to purchase up to 2,419.929 shares is nominal. Common Stock Warrants may be exercised to purchase up to 2,846,975 shares of Common Stock for $1.28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64770</wp:posOffset>
            </wp:positionV>
            <wp:extent cx="714565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1">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62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14"/>
                <w:szCs w:val="14"/>
                <w:color w:val="auto"/>
              </w:rPr>
            </w:pPr>
          </w:p>
        </w:tc>
        <w:tc>
          <w:tcPr>
            <w:tcW w:w="68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40" w:type="dxa"/>
            <w:vAlign w:val="bottom"/>
            <w:tcBorders>
              <w:right w:val="single" w:sz="8" w:color="9ADAF6"/>
            </w:tcBorders>
            <w:gridSpan w:val="2"/>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14"/>
                <w:szCs w:val="14"/>
                <w:color w:val="auto"/>
              </w:rPr>
            </w:pPr>
          </w:p>
        </w:tc>
        <w:tc>
          <w:tcPr>
            <w:tcW w:w="94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0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8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9ADAF6"/>
            </w:tcBorders>
            <w:gridSpan w:val="2"/>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3"/>
          </w:tcPr>
          <w:p>
            <w:pPr>
              <w:jc w:val="center"/>
              <w:ind w:right="174"/>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11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4"/>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114"/>
              <w:spacing w:after="0" w:line="193"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restart"/>
            <w:shd w:val="clear" w:color="auto" w:fill="9ADAF6"/>
          </w:tcPr>
          <w:p>
            <w:pPr>
              <w:jc w:val="center"/>
              <w:ind w:right="54"/>
              <w:spacing w:after="0" w:line="193" w:lineRule="exact"/>
              <w:rPr>
                <w:sz w:val="20"/>
                <w:szCs w:val="20"/>
                <w:color w:val="auto"/>
              </w:rPr>
            </w:pPr>
            <w:r>
              <w:rPr>
                <w:rFonts w:ascii="Arial" w:cs="Arial" w:eastAsia="Arial" w:hAnsi="Arial"/>
                <w:sz w:val="17"/>
                <w:szCs w:val="17"/>
                <w:b w:val="1"/>
                <w:bCs w:val="1"/>
                <w:color w:val="auto"/>
                <w:w w:val="98"/>
              </w:rPr>
              <w:t>Securities Previously</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right w:val="single" w:sz="8" w:color="9ADAF6"/>
            </w:tcBorders>
            <w:shd w:val="clear" w:color="auto" w:fill="9ADAF6"/>
          </w:tcPr>
          <w:p>
            <w:pPr>
              <w:spacing w:after="0"/>
              <w:rPr>
                <w:sz w:val="12"/>
                <w:szCs w:val="12"/>
                <w:color w:val="auto"/>
              </w:rPr>
            </w:pPr>
          </w:p>
        </w:tc>
        <w:tc>
          <w:tcPr>
            <w:tcW w:w="116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4"/>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right w:val="single" w:sz="8" w:color="9ADAF6"/>
            </w:tcBorders>
            <w:shd w:val="clear" w:color="auto" w:fill="9ADAF6"/>
          </w:tcPr>
          <w:p>
            <w:pPr>
              <w:spacing w:after="0"/>
              <w:rPr>
                <w:sz w:val="7"/>
                <w:szCs w:val="7"/>
                <w:color w:val="auto"/>
              </w:rPr>
            </w:pPr>
          </w:p>
        </w:tc>
        <w:tc>
          <w:tcPr>
            <w:tcW w:w="11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60" w:type="dxa"/>
            <w:vAlign w:val="bottom"/>
            <w:tcBorders>
              <w:bottom w:val="single" w:sz="8" w:color="E7E7E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lvl w:ilvl="1">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Roman"/>
      <w:start w:val="2"/>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4"/>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lowerRoman"/>
      <w:start w:val="1"/>
    </w:lvl>
  </w:abstractNum>
  <w:abstractNum w:abstractNumId="20">
    <w:nsid w:val="1E7FF521"/>
    <w:multiLevelType w:val="hybridMultilevel"/>
    <w:lvl w:ilvl="0">
      <w:lvlJc w:val="left"/>
      <w:lvlText w:val="(%1)"/>
      <w:numFmt w:val="decimal"/>
      <w:start w:val="954"/>
    </w:lvl>
  </w:abstractNum>
  <w:abstractNum w:abstractNumId="21">
    <w:nsid w:val="7C3DBD3D"/>
    <w:multiLevelType w:val="hybridMultilevel"/>
    <w:lvl w:ilvl="0">
      <w:lvlJc w:val="left"/>
      <w:lvlText w:val="(%1)"/>
      <w:numFmt w:val="lowerLetter"/>
      <w:start w:val="1"/>
    </w:lvl>
    <w:lvl w:ilvl="1">
      <w:lvlJc w:val="left"/>
      <w:lvlText w:val="(%2)"/>
      <w:numFmt w:val="lowerLetter"/>
      <w:start w:val="1"/>
    </w:lvl>
  </w:abstractNum>
  <w:abstractNum w:abstractNumId="22">
    <w:nsid w:val="737B8DDC"/>
    <w:multiLevelType w:val="hybridMultilevel"/>
    <w:lvl w:ilvl="0">
      <w:lvlJc w:val="left"/>
      <w:lvlText w:val="%1"/>
      <w:numFmt w:val="lowerLetter"/>
      <w:start w:val="1"/>
    </w:lvl>
    <w:lvl w:ilvl="1">
      <w:lvlJc w:val="left"/>
      <w:lvlText w:val="(%2)"/>
      <w:numFmt w:val="decimal"/>
      <w:start w:val="2"/>
    </w:lvl>
  </w:abstractNum>
  <w:abstractNum w:abstractNumId="23">
    <w:nsid w:val="6CEAF087"/>
    <w:multiLevelType w:val="hybridMultilevel"/>
    <w:lvl w:ilvl="0">
      <w:lvlJc w:val="left"/>
      <w:lvlText w:val="(%1)"/>
      <w:numFmt w:val="lowerLetter"/>
      <w:start w:val="4"/>
    </w:lvl>
    <w:lvl w:ilvl="1">
      <w:lvlJc w:val="left"/>
      <w:lvlText w:val="%2"/>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Roman"/>
      <w:start w:val="1"/>
    </w:lvl>
  </w:abstractNum>
  <w:abstractNum w:abstractNumId="26">
    <w:nsid w:val="3006C83E"/>
    <w:multiLevelType w:val="hybridMultilevel"/>
    <w:lvl w:ilvl="0">
      <w:lvlJc w:val="left"/>
      <w:lvlText w:val="(%1)"/>
      <w:numFmt w:val="lowerRoman"/>
      <w:start w:val="2"/>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lowerLetter"/>
      <w:start w:val="8"/>
    </w:lvl>
  </w:abstractNum>
  <w:abstractNum w:abstractNumId="29">
    <w:nsid w:val="5577F8E1"/>
    <w:multiLevelType w:val="hybridMultilevel"/>
    <w:lvl w:ilvl="0">
      <w:lvlJc w:val="left"/>
      <w:lvlText w:val="(%1)"/>
      <w:numFmt w:val="lowerLetter"/>
      <w:start w:val="25"/>
    </w:lvl>
  </w:abstractNum>
  <w:abstractNum w:abstractNumId="30">
    <w:nsid w:val="440BADFC"/>
    <w:multiLevelType w:val="hybridMultilevel"/>
    <w:lvl w:ilvl="0">
      <w:lvlJc w:val="left"/>
      <w:lvlText w:val="(%1)"/>
      <w:numFmt w:val="decimal"/>
      <w:start w:val="1"/>
    </w:lvl>
    <w:lvl w:ilvl="1">
      <w:lvlJc w:val="left"/>
      <w:lvlText w:val="(%2)"/>
      <w:numFmt w:val="lowerRoman"/>
      <w:start w:val="1"/>
    </w:lvl>
  </w:abstractNum>
  <w:abstractNum w:abstractNumId="31">
    <w:nsid w:val="5072367"/>
    <w:multiLevelType w:val="hybridMultilevel"/>
    <w:lvl w:ilvl="0">
      <w:lvlJc w:val="left"/>
      <w:lvlText w:val="%1"/>
      <w:numFmt w:val="decimal"/>
      <w:start w:val="1"/>
    </w:lvl>
    <w:lvl w:ilvl="1">
      <w:lvlJc w:val="left"/>
      <w:lvlText w:val="(%2)"/>
      <w:numFmt w:val="lowerRoman"/>
      <w:start w:val="3"/>
    </w:lvl>
  </w:abstractNum>
  <w:abstractNum w:abstractNumId="32">
    <w:nsid w:val="3804823E"/>
    <w:multiLevelType w:val="hybridMultilevel"/>
    <w:lvl w:ilvl="0">
      <w:lvlJc w:val="left"/>
      <w:lvlText w:val="(%1)"/>
      <w:numFmt w:val="decimal"/>
      <w:start w:val="2"/>
    </w:lvl>
    <w:lvl w:ilvl="1">
      <w:lvlJc w:val="left"/>
      <w:lvlText w:val="(%2)"/>
      <w:numFmt w:val="lowerRoman"/>
      <w:start w:val="1"/>
    </w:lvl>
  </w:abstractNum>
  <w:abstractNum w:abstractNumId="33">
    <w:nsid w:val="77465F01"/>
    <w:multiLevelType w:val="hybridMultilevel"/>
    <w:lvl w:ilvl="0">
      <w:lvlJc w:val="left"/>
      <w:lvlText w:val="(%1)"/>
      <w:numFmt w:val="upperLetter"/>
      <w:start w:val="1"/>
    </w:lvl>
  </w:abstractNum>
  <w:abstractNum w:abstractNumId="34">
    <w:nsid w:val="7724C67E"/>
    <w:multiLevelType w:val="hybridMultilevel"/>
    <w:lvl w:ilvl="0">
      <w:lvlJc w:val="left"/>
      <w:lvlText w:val="(%1)"/>
      <w:numFmt w:val="decimal"/>
      <w:start w:val="5"/>
    </w:lvl>
    <w:lvl w:ilvl="1">
      <w:lvlJc w:val="left"/>
      <w:lvlText w:val="(%2)"/>
      <w:numFmt w:val="lowerRoman"/>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89" Type="http://schemas.openxmlformats.org/officeDocument/2006/relationships/image" Target="media/image51.png"/><Relationship Id="rId108" Type="http://schemas.openxmlformats.org/officeDocument/2006/relationships/image" Target="media/image52.png"/><Relationship Id="rId118" Type="http://schemas.openxmlformats.org/officeDocument/2006/relationships/image" Target="media/image53.png"/><Relationship Id="rId119" Type="http://schemas.openxmlformats.org/officeDocument/2006/relationships/image" Target="media/image54.png"/><Relationship Id="rId120" Type="http://schemas.openxmlformats.org/officeDocument/2006/relationships/image" Target="media/image55.png"/><Relationship Id="rId121" Type="http://schemas.openxmlformats.org/officeDocument/2006/relationships/image" Target="media/image56.png"/><Relationship Id="rId122" Type="http://schemas.openxmlformats.org/officeDocument/2006/relationships/image" Target="media/image57.png"/><Relationship Id="rId123" Type="http://schemas.openxmlformats.org/officeDocument/2006/relationships/image" Target="media/image58.png"/><Relationship Id="rId124" Type="http://schemas.openxmlformats.org/officeDocument/2006/relationships/image" Target="media/image59.png"/><Relationship Id="rId125" Type="http://schemas.openxmlformats.org/officeDocument/2006/relationships/image" Target="media/image60.png"/><Relationship Id="rId126" Type="http://schemas.openxmlformats.org/officeDocument/2006/relationships/image" Target="media/image61.png"/><Relationship Id="rId127" Type="http://schemas.openxmlformats.org/officeDocument/2006/relationships/image" Target="media/image62.png"/><Relationship Id="rId128" Type="http://schemas.openxmlformats.org/officeDocument/2006/relationships/image" Target="media/image63.png"/><Relationship Id="rId129" Type="http://schemas.openxmlformats.org/officeDocument/2006/relationships/image" Target="media/image64.png"/><Relationship Id="rId130" Type="http://schemas.openxmlformats.org/officeDocument/2006/relationships/image" Target="media/image65.png"/><Relationship Id="rId131" Type="http://schemas.openxmlformats.org/officeDocument/2006/relationships/image" Target="media/image66.png"/><Relationship Id="rId46" Type="http://schemas.openxmlformats.org/officeDocument/2006/relationships/hyperlink" Target="https://www.sec.gov/Archives/edgar/data/1828673/000119312526134934/hcwb-20251231.htm" TargetMode="External"/><Relationship Id="rId47" Type="http://schemas.openxmlformats.org/officeDocument/2006/relationships/hyperlink" Target="https://www.sec.gov/Archives/edgar/data/1828673/000149315226023131/form10-q.htm" TargetMode="External"/><Relationship Id="rId48" Type="http://schemas.openxmlformats.org/officeDocument/2006/relationships/hyperlink" Target="https://www.sec.gov/Archives/edgar/data/1828673/000149315226019409/formdef14a.htm" TargetMode="External"/><Relationship Id="rId49" Type="http://schemas.openxmlformats.org/officeDocument/2006/relationships/hyperlink" Target="https://www.sec.gov/Archives/edgar/data/1828673/000149315226019699/form8-k.htm" TargetMode="External"/><Relationship Id="rId50" Type="http://schemas.openxmlformats.org/officeDocument/2006/relationships/hyperlink" Target="https://www.sec.gov/Archives/edgar/data/1828673/000149315226023122/form8-k.htm" TargetMode="External"/><Relationship Id="rId51" Type="http://schemas.openxmlformats.org/officeDocument/2006/relationships/hyperlink" Target="https://www.sec.gov/Archives/edgar/data/1828673/000149315226024850/form8-k.htm" TargetMode="External"/><Relationship Id="rId52" Type="http://schemas.openxmlformats.org/officeDocument/2006/relationships/hyperlink" Target="https://www.sec.gov/Archives/edgar/data/1828673/000149315226025336/form8-k.htm" TargetMode="External"/><Relationship Id="rId53" Type="http://schemas.openxmlformats.org/officeDocument/2006/relationships/hyperlink" Target="https://www.sec.gov/Archives/edgar/data/1828673/000149315226026529/form8-k.htm" TargetMode="External"/><Relationship Id="rId54" Type="http://schemas.openxmlformats.org/officeDocument/2006/relationships/hyperlink" Target="https://www.sec.gov/Archives/edgar/data/1828673/000119312521212008/d206671d8a12b.htm" TargetMode="External"/><Relationship Id="rId67" Type="http://schemas.openxmlformats.org/officeDocument/2006/relationships/hyperlink" Target="https://www.sec.gov/Archives/edgar/data/1828673/000119312521224302/d179831dex31.htm" TargetMode="External"/><Relationship Id="rId68" Type="http://schemas.openxmlformats.org/officeDocument/2006/relationships/hyperlink" Target="https://www.sec.gov/Archives/edgar/data/1828673/000095017025048619/hcwb-ex3_1a.htm" TargetMode="External"/><Relationship Id="rId69" Type="http://schemas.openxmlformats.org/officeDocument/2006/relationships/hyperlink" Target="https://www.sec.gov/Archives/edgar/data/1828673/000095017025048619/hcwb-ex3_1b.htm" TargetMode="External"/><Relationship Id="rId70" Type="http://schemas.openxmlformats.org/officeDocument/2006/relationships/hyperlink" Target="https://www.sec.gov/Archives/edgar/data/1828673/000119312521224302/d179831dex32.htm" TargetMode="External"/><Relationship Id="rId71" Type="http://schemas.openxmlformats.org/officeDocument/2006/relationships/hyperlink" Target="https://www.sec.gov/Archives/edgar/data/1828673/000119312521191316/d39345dex41.htm" TargetMode="External"/><Relationship Id="rId72" Type="http://schemas.openxmlformats.org/officeDocument/2006/relationships/hyperlink" Target="https://www.sec.gov/Archives/edgar/data/1828673/000095017022004847/hcwb-ex4_2.htm" TargetMode="External"/><Relationship Id="rId73" Type="http://schemas.openxmlformats.org/officeDocument/2006/relationships/hyperlink" Target="https://www.sec.gov/Archives/edgar/data/1828673/000119312525289873/hcwb-ex4_1.htm" TargetMode="External"/><Relationship Id="rId74" Type="http://schemas.openxmlformats.org/officeDocument/2006/relationships/hyperlink" Target="https://www.sec.gov/Archives/edgar/data/1828673/000119312526059578/hcwb-ex4_1.htm" TargetMode="External"/><Relationship Id="rId75" Type="http://schemas.openxmlformats.org/officeDocument/2006/relationships/hyperlink" Target="https://www.sec.gov/Archives/edgar/data/1828673/000119312526059578/hcwb-ex4_2.htm" TargetMode="External"/><Relationship Id="rId76" Type="http://schemas.openxmlformats.org/officeDocument/2006/relationships/hyperlink" Target="https://www.sec.gov/Archives/edgar/data/1828673/000095017025109642/hcwb-ex10_13.htm" TargetMode="External"/><Relationship Id="rId77" Type="http://schemas.openxmlformats.org/officeDocument/2006/relationships/hyperlink" Target="https://www.sec.gov/Archives/edgar/data/1828673/000149315226024850/ex4-1.htm" TargetMode="External"/><Relationship Id="rId78" Type="http://schemas.openxmlformats.org/officeDocument/2006/relationships/hyperlink" Target="https://www.sec.gov/Archives/edgar/data/1828673/000149315226024850/ex4-2.htm" TargetMode="External"/><Relationship Id="rId79" Type="http://schemas.openxmlformats.org/officeDocument/2006/relationships/hyperlink" Target="https://www.sec.gov/Archives/edgar/data/1828673/000119312525289873/hcwb-ex10_1.htm" TargetMode="External"/><Relationship Id="rId80" Type="http://schemas.openxmlformats.org/officeDocument/2006/relationships/hyperlink" Target="https://www.sec.gov/Archives/edgar/data/1828673/000119312526059578/hcwb-ex10_2.htm" TargetMode="External"/><Relationship Id="rId81" Type="http://schemas.openxmlformats.org/officeDocument/2006/relationships/hyperlink" Target="https://www.sec.gov/Archives/edgar/data/1828673/000119312526059578/hcwb-ex10_3.htm" TargetMode="External"/><Relationship Id="rId82" Type="http://schemas.openxmlformats.org/officeDocument/2006/relationships/hyperlink" Target="https://www.sec.gov/Archives/edgar/data/1828673/000119312526046873/d55258dex1042.htm" TargetMode="External"/><Relationship Id="rId83" Type="http://schemas.openxmlformats.org/officeDocument/2006/relationships/hyperlink" Target="https://www.sec.gov/Archives/edgar/data/1828673/000119312521191316/d39345dex101.htm" TargetMode="External"/><Relationship Id="rId84" Type="http://schemas.openxmlformats.org/officeDocument/2006/relationships/hyperlink" Target="https://www.sec.gov/Archives/edgar/data/1828673/000119312521173753/d39345dex102.htm" TargetMode="External"/><Relationship Id="rId85" Type="http://schemas.openxmlformats.org/officeDocument/2006/relationships/hyperlink" Target="https://www.sec.gov/Archives/edgar/data/1828673/000119312521173753/d39345dex103.htm" TargetMode="External"/><Relationship Id="rId86" Type="http://schemas.openxmlformats.org/officeDocument/2006/relationships/hyperlink" Target="https://www.sec.gov/Archives/edgar/data/1828673/000119312521209000/d39345dex104.htm" TargetMode="External"/><Relationship Id="rId87" Type="http://schemas.openxmlformats.org/officeDocument/2006/relationships/hyperlink" Target="https://www.sec.gov/Archives/edgar/data/1828673/000119312521209000/d39345dex106.htm" TargetMode="External"/><Relationship Id="rId88" Type="http://schemas.openxmlformats.org/officeDocument/2006/relationships/hyperlink" Target="https://www.sec.gov/Archives/edgar/data/1828673/000119312521173753/d39345dex107.htm" TargetMode="External"/><Relationship Id="rId90" Type="http://schemas.openxmlformats.org/officeDocument/2006/relationships/hyperlink" Target="https://www.sec.gov/Archives/edgar/data/1828673/000119312521191316/d39345dex108.htm" TargetMode="External"/><Relationship Id="rId91" Type="http://schemas.openxmlformats.org/officeDocument/2006/relationships/hyperlink" Target="https://www.sec.gov/Archives/edgar/data/1828673/000119312521209000/d39345dex1013.htm" TargetMode="External"/><Relationship Id="rId92" Type="http://schemas.openxmlformats.org/officeDocument/2006/relationships/hyperlink" Target="https://www.sec.gov/Archives/edgar/data/1828673/000119312521191316/d39345dex1011.htm" TargetMode="External"/><Relationship Id="rId93" Type="http://schemas.openxmlformats.org/officeDocument/2006/relationships/hyperlink" Target="https://www.sec.gov/Archives/edgar/data/1828673/000119312521173753/d39345dex1010.htm" TargetMode="External"/><Relationship Id="rId94" Type="http://schemas.openxmlformats.org/officeDocument/2006/relationships/hyperlink" Target="https://www.sec.gov/Archives/edgar/data/1828673/000119312521209000/d39345dex1012.htm" TargetMode="External"/><Relationship Id="rId95" Type="http://schemas.openxmlformats.org/officeDocument/2006/relationships/hyperlink" Target="https://www.sec.gov/Archives/edgar/data/1828673/000095017022017015/hcwb-ex10_1.htm" TargetMode="External"/><Relationship Id="rId96" Type="http://schemas.openxmlformats.org/officeDocument/2006/relationships/hyperlink" Target="https://www.sec.gov/Archives/edgar/data/1828673/000095017022022697/hcwb-ex10_1.htm" TargetMode="External"/><Relationship Id="rId97" Type="http://schemas.openxmlformats.org/officeDocument/2006/relationships/hyperlink" Target="https://www.sec.gov/Archives/edgar/data/1828673/000095017022022697/hcwb-ex10_2.htm" TargetMode="External"/><Relationship Id="rId98" Type="http://schemas.openxmlformats.org/officeDocument/2006/relationships/hyperlink" Target="https://www.sec.gov/Archives/edgar/data/1828673/000095017024018451/hcwb-ex10_1.htm" TargetMode="External"/><Relationship Id="rId99" Type="http://schemas.openxmlformats.org/officeDocument/2006/relationships/hyperlink" Target="https://www.sec.gov/Archives/edgar/data/1828673/000095017024097121/hcwb-ex10_1.htm" TargetMode="External"/><Relationship Id="rId100" Type="http://schemas.openxmlformats.org/officeDocument/2006/relationships/hyperlink" Target="https://www.sec.gov/Archives/edgar/data/1828673/000095017024097121/hcwb-ex10_3.htm" TargetMode="External"/><Relationship Id="rId101" Type="http://schemas.openxmlformats.org/officeDocument/2006/relationships/hyperlink" Target="https://www.sec.gov/Archives/edgar/data/1828673/000095017024097121/hcwb-ex10_4.htm" TargetMode="External"/><Relationship Id="rId102" Type="http://schemas.openxmlformats.org/officeDocument/2006/relationships/hyperlink" Target="https://www.sec.gov/Archives/edgar/data/1828673/000095017024127198/hcwb-ex10_5.htm" TargetMode="External"/><Relationship Id="rId103" Type="http://schemas.openxmlformats.org/officeDocument/2006/relationships/hyperlink" Target="https://www.sec.gov/Archives/edgar/data/1828673/000095017024097121/hcwb-ex10_2.htm" TargetMode="External"/><Relationship Id="rId104" Type="http://schemas.openxmlformats.org/officeDocument/2006/relationships/hyperlink" Target="https://www.sec.gov/Archives/edgar/data/1828673/000095017025109642/hcwb-ex10_12.htm" TargetMode="External"/><Relationship Id="rId105" Type="http://schemas.openxmlformats.org/officeDocument/2006/relationships/hyperlink" Target="https://www.sec.gov/Archives/edgar/data/1828673/000095017025024989/hcwb-ex10_1.htm" TargetMode="External"/><Relationship Id="rId106" Type="http://schemas.openxmlformats.org/officeDocument/2006/relationships/hyperlink" Target="https://www.sec.gov/Archives/edgar/data/1828673/000095017025024989/hcwb-ex10_2.htm" TargetMode="External"/><Relationship Id="rId107" Type="http://schemas.openxmlformats.org/officeDocument/2006/relationships/hyperlink" Target="https://www.sec.gov/Archives/edgar/data/1828673/000095017025109139/hcwb-ex10_1.htm" TargetMode="External"/><Relationship Id="rId109" Type="http://schemas.openxmlformats.org/officeDocument/2006/relationships/hyperlink" Target="https://www.sec.gov/Archives/edgar/data/1828673/000119312526046873/d55258dex1040.htm" TargetMode="External"/><Relationship Id="rId110" Type="http://schemas.openxmlformats.org/officeDocument/2006/relationships/hyperlink" Target="https://www.sec.gov/Archives/edgar/data/1828673/000119312526046873/d55258dex1043.htm" TargetMode="External"/><Relationship Id="rId111" Type="http://schemas.openxmlformats.org/officeDocument/2006/relationships/hyperlink" Target="https://www.sec.gov/Archives/edgar/data/1828673/000119312526046873/d55258dex1044.htm" TargetMode="External"/><Relationship Id="rId112" Type="http://schemas.openxmlformats.org/officeDocument/2006/relationships/hyperlink" Target="https://www.sec.gov/Archives/edgar/data/1828673/000095017025109642/hcwb-ex10_17.htm" TargetMode="External"/><Relationship Id="rId113" Type="http://schemas.openxmlformats.org/officeDocument/2006/relationships/hyperlink" Target="https://www.sec.gov/Archives/edgar/data/1828673/000095017024127198/hcwb-ex10_6.htm" TargetMode="External"/><Relationship Id="rId114" Type="http://schemas.openxmlformats.org/officeDocument/2006/relationships/hyperlink" Target="https://www.sec.gov/Archives/edgar/data/1828673/000119312526059578/hcwb-ex10_1.htm" TargetMode="External"/><Relationship Id="rId115" Type="http://schemas.openxmlformats.org/officeDocument/2006/relationships/hyperlink" Target="https://www.sec.gov/Archives/edgar/data/1828673/000149315226024850/ex10-1.htm" TargetMode="External"/><Relationship Id="rId116" Type="http://schemas.openxmlformats.org/officeDocument/2006/relationships/hyperlink" Target="https://www.sec.gov/Archives/edgar/data/1828673/000149315226024850/ex10-2.htm" TargetMode="External"/><Relationship Id="rId117" Type="http://schemas.openxmlformats.org/officeDocument/2006/relationships/hyperlink" Target="https://www.sec.gov/Archives/edgar/data/1828673/000149315226024850/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2026-06-08T09:12:30Z</dcterms:created>
  <dcterms:modified xsi:type="dcterms:W3CDTF">2026-06-08T09:12:30Z</dcterms:modified>
</cp:coreProperties>
</file>