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132715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165100</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HCW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141605</wp:posOffset>
            </wp:positionV>
            <wp:extent cx="214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001-40591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82-5024477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40"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2929 N. Commerce Parkway</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Miramar, Florida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33025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954 842-2024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HCWB</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2026, HCW Biologics Inc. (the “Company”) received written notice form the Listing Qualifications Staff (the “Staff”) of the Nasdaq Capital Market Nasdaq Stock Market LLC (“Nasdaq”) that the Nasdaq Hearings Panel (the “Panel”) found that the Company regained compliance with Listing Rule 5550(a)(2), the “Bid Price Rule,” per the terms set forth in the Panel’s decision letter dated May 29, 2026, as amended.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indicated in the Panel’s decision letter, as amended, if the Company satisfies the remaining terms of the decision through September 22, 2026, the Panel also intends to impose a Discretionary Panel Monitor on the Company pursuant to Listing Rule 5815(d)(4)(A) for a one-year period from that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application of Listing Rule 5815(d)(4)(B), the Company will be subject to a Mandatory Panel Monitor until June 17, 2027. If, within that one-year monitoring period, Staff finds the Company again out of compliance with the Bid Price Rule, which was the subject of the exception, then notwithstanding Rule 5810(c)(2) the Company will not be permitted to provide the Staff with a plan of compliance with respect to that deficiency and Staff will not be permitted to grant additional time for the Company to regain compliance with respect to that deficiency, nor will the company be afforded an applicable cure or compliance period pursuant to Rule 5810(c)(3). Instead, Staff will issue a Delist Determination Letter and the Company will have an opportunity to request a new hearing with the initial Panel or a newly convened Hearings Panel if the initial Panel is unavailable. The Company will have the opportunity to respond/present to the Hearings Panel as provided by Listing Rule 5815(d)(4)(C). The Company’s securities may be at that time delisted from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40"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HCW BIOLOGICS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Hing C. Wong</w:t>
            </w:r>
          </w:p>
        </w:tc>
      </w:tr>
      <w:tr>
        <w:trPr>
          <w:trHeight w:val="228"/>
        </w:trPr>
        <w:tc>
          <w:tcPr>
            <w:tcW w:w="3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Hing C. Wong, Founder and Chief Executive Officer</w:t>
            </w:r>
          </w:p>
        </w:tc>
      </w:tr>
      <w:tr>
        <w:trPr>
          <w:trHeight w:val="414"/>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14500" cy="814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HCW Biologics Regained Compliance with Bid Price Rule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 Nasdaq Compliance Letter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now compliant with all continued listing rules for Nasdaq</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Miramar, FL </w:t>
      </w:r>
      <w:r>
        <w:rPr>
          <w:rFonts w:ascii="Times New Roman" w:cs="Times New Roman" w:eastAsia="Times New Roman" w:hAnsi="Times New Roman"/>
          <w:sz w:val="18"/>
          <w:szCs w:val="18"/>
          <w:color w:val="auto"/>
        </w:rPr>
        <w:t>– June 30, 2026 – HCW Biologics Inc. (the “Company” or “HCW Biologics”) (Nasdaq: HCWB), a U.S.-based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developing transformative fusion immunotherapeutics to support or treat diseases promoted by chronic inflammation, focusing on autoimmune disorders and other inflammatory diseases, cancer and senescence-associated dysplasia, today reported that, on June 29, 2026, the Nasdaq Hearings Panel (the “Panel”) of The Nasdaq Stock Market LLC (“Nasdaq” or the “Exchange”) found that the Company regained compliance with Listing Rule 5550(a)(2), the “Bid Price Rule,” per the terms set forth in the Panel’s decision letter dated May 29, 2026, as amended, and is subject to a mandatory monitoring period through June 17, 2027.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ensure long-term compliance with the Bid Price Rule, the Company will effect a reverse stock split at a one-for-six ratio on June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HCW Biologics: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HCW Biologics Inc. (the “Company”) (NASDAQ: HCWB) is a clinical-stage biopharmaceutical company developing transformative fusion immunotherapeutics to treat diseases promoted by chronic inflammation, including autoimmune diseases, cancer, and senescence-associated dysplasia. The Company’s immunotherapeutics represent a new class of drugs that it believes have the potential to fundamentally change the treatment of proinflammatory and senescence-associated diseases and conditions that are promoted by chronic inflammation —and in doing so, improve patients’ quality of life and possibly extend longevity. A key aspect of the Company’s clinical development and financing strategy is to focus on its business development programs. See the Company Pipeline at </w:t>
      </w:r>
      <w:r>
        <w:rPr>
          <w:rFonts w:ascii="Times New Roman" w:cs="Times New Roman" w:eastAsia="Times New Roman" w:hAnsi="Times New Roman"/>
          <w:sz w:val="18"/>
          <w:szCs w:val="18"/>
          <w:u w:val="single" w:color="auto"/>
          <w:color w:val="auto"/>
        </w:rPr>
        <w:t>https://hcwbiologics.com/pipeline/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Section 27A of the Securities Act of 1933, as amended, and Section 21E of the Securities Exchange Act of 1934, as amended. Statements in this press release that are not purely historical are forward-looking statements. Such forward-looking statements include, among other things, statements relating to the timing, consummation, and impact of the reverse stock split, the Company’s ability to maintain long-term compliance with Nasdaq’s minimum bid price requirement, and the actions of third parties, including Equiniti, the Company’s transfer agent, with respect to the reverse stock split. Actual results could differ from those projected in any forward-looking statement due to numerous factors. Such factors include, among others, our ability to maintain compliance with Nasdaq’s continued listing rules. These forward-looking statements are made as of the date of this press release, and we assume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we file with the Securities and Exchange Commission, or the SEC, available at www.sec.gov, including, without limitation, the Company’s most recent Annual Report on Form 10-K filed on March 31, 2026, and other SEC filings.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 Byam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rebeccabyam@hcwbiologics.com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2026-06-30T07:32:17Z</dcterms:created>
  <dcterms:modified xsi:type="dcterms:W3CDTF">2026-06-30T07:32:17Z</dcterms:modified>
</cp:coreProperties>
</file>