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18,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333-296577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HCW BIOLOGICS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00" w:type="dxa"/>
        <w:tblCellMar>
          <w:top w:w="0" w:type="dxa"/>
          <w:left w:w="0" w:type="dxa"/>
          <w:bottom w:w="0" w:type="dxa"/>
          <w:right w:w="0" w:type="dxa"/>
        </w:tblCellMar>
      </w:tblPr>
      <w:tr>
        <w:trPr>
          <w:trHeight w:val="216"/>
        </w:trPr>
        <w:tc>
          <w:tcPr>
            <w:tcW w:w="31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68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82-5024477</w:t>
            </w:r>
          </w:p>
        </w:tc>
      </w:tr>
      <w:tr>
        <w:trPr>
          <w:trHeight w:val="216"/>
        </w:trPr>
        <w:tc>
          <w:tcPr>
            <w:tcW w:w="31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268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68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2929 N Commerce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Miramar, FL 33025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(954) 842-2024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 C. Wong,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2929 N Commerce Parkway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Miramar, FL 33025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(954) 842-2024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tc>
      </w:tr>
      <w:tr>
        <w:trPr>
          <w:trHeight w:val="410"/>
        </w:trPr>
        <w:tc>
          <w:tcPr>
            <w:tcW w:w="29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James Groth</w:t>
            </w:r>
          </w:p>
        </w:tc>
        <w:tc>
          <w:tcPr>
            <w:tcW w:w="518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8"/>
              </w:rPr>
              <w:t>Yevgeniya (Jeny) Zarmon</w:t>
            </w:r>
          </w:p>
        </w:tc>
      </w:tr>
      <w:tr>
        <w:trPr>
          <w:trHeight w:val="216"/>
        </w:trPr>
        <w:tc>
          <w:tcPr>
            <w:tcW w:w="29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Clark Hill PLC</w:t>
            </w:r>
          </w:p>
        </w:tc>
        <w:tc>
          <w:tcPr>
            <w:tcW w:w="518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Clark Hill PLC</w:t>
            </w:r>
          </w:p>
        </w:tc>
      </w:tr>
      <w:tr>
        <w:trPr>
          <w:trHeight w:val="216"/>
        </w:trPr>
        <w:tc>
          <w:tcPr>
            <w:tcW w:w="29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130 E. Randolph St., Ste. 3900</w:t>
            </w:r>
          </w:p>
        </w:tc>
        <w:tc>
          <w:tcPr>
            <w:tcW w:w="518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210 Carnegie Center, Suite 102</w:t>
            </w:r>
          </w:p>
        </w:tc>
      </w:tr>
      <w:tr>
        <w:trPr>
          <w:trHeight w:val="216"/>
        </w:trPr>
        <w:tc>
          <w:tcPr>
            <w:tcW w:w="29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Chicago, IL 60601</w:t>
            </w:r>
          </w:p>
        </w:tc>
        <w:tc>
          <w:tcPr>
            <w:tcW w:w="518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Princeton, NJ 08540</w:t>
            </w:r>
          </w:p>
        </w:tc>
      </w:tr>
      <w:tr>
        <w:trPr>
          <w:trHeight w:val="238"/>
        </w:trPr>
        <w:tc>
          <w:tcPr>
            <w:tcW w:w="29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(312) 985-5900</w:t>
            </w:r>
          </w:p>
        </w:tc>
        <w:tc>
          <w:tcPr>
            <w:tcW w:w="518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(609) 785-2918</w:t>
            </w:r>
          </w:p>
        </w:tc>
      </w:tr>
    </w:tbl>
    <w:p>
      <w:pPr>
        <w:spacing w:after="0" w:line="194"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market conditions.</w:t>
      </w:r>
    </w:p>
    <w:p>
      <w:pPr>
        <w:spacing w:after="0" w:line="15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441" w:right="339" w:bottom="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Section 8(a) of the Securities Act,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HCW Biologics Inc. is filing this Amendment No. 1 to its Registration Statement on Form S-1 (File No. 333-296577) as an exhibits-only filing. Accordingly, this Amendment consists only of the facing page, this explanatory note, Item 16(a) of Part II of the Registration Statement, the signature page to the Registration Statement and the filed exhibits. The remainder of the Registration Statement is unchanged and has therefore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Item 16. Exhibits.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87"/>
        </w:trPr>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furnished</w:t>
            </w:r>
          </w:p>
        </w:tc>
        <w:tc>
          <w:tcPr>
            <w:tcW w:w="0" w:type="dxa"/>
            <w:vAlign w:val="bottom"/>
          </w:tcPr>
          <w:p>
            <w:pPr>
              <w:spacing w:after="0"/>
              <w:rPr>
                <w:sz w:val="1"/>
                <w:szCs w:val="1"/>
                <w:color w:val="auto"/>
              </w:rPr>
            </w:pPr>
          </w:p>
        </w:tc>
      </w:tr>
      <w:tr>
        <w:trPr>
          <w:trHeight w:val="23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20"/>
          </w:tcPr>
          <w:p>
            <w:pPr>
              <w:ind w:left="50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3700" w:type="dxa"/>
            <w:vAlign w:val="bottom"/>
            <w:tcBorders>
              <w:top w:val="single" w:sz="8" w:color="auto"/>
              <w:bottom w:val="single" w:sz="8" w:color="0000EE"/>
            </w:tcBorders>
            <w:gridSpan w:val="18"/>
          </w:tcPr>
          <w:p>
            <w:pPr>
              <w:spacing w:after="0" w:line="169"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Amended and Restated Certificate of Incorporation</w:t>
              </w:r>
            </w:hyperlink>
          </w:p>
        </w:tc>
        <w:tc>
          <w:tcPr>
            <w:tcW w:w="160" w:type="dxa"/>
            <w:vAlign w:val="bottom"/>
            <w:tcBorders>
              <w:top w:val="single" w:sz="8" w:color="auto"/>
            </w:tcBorders>
            <w:gridSpan w:val="5"/>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20" w:type="dxa"/>
            <w:vAlign w:val="bottom"/>
          </w:tcPr>
          <w:p>
            <w:pPr>
              <w:spacing w:after="0"/>
              <w:rPr>
                <w:sz w:val="14"/>
                <w:szCs w:val="14"/>
                <w:color w:val="auto"/>
              </w:rPr>
            </w:pPr>
          </w:p>
        </w:tc>
        <w:tc>
          <w:tcPr>
            <w:tcW w:w="11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001-40591</w:t>
            </w:r>
          </w:p>
        </w:tc>
        <w:tc>
          <w:tcPr>
            <w:tcW w:w="2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07/26/2021</w:t>
            </w: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3.1a</w:t>
            </w:r>
          </w:p>
        </w:tc>
        <w:tc>
          <w:tcPr>
            <w:tcW w:w="22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Certificate  of  Amendment  of  Certificate  of</w:t>
              </w:r>
            </w:hyperlink>
          </w:p>
        </w:tc>
        <w:tc>
          <w:tcPr>
            <w:tcW w:w="240" w:type="dxa"/>
            <w:vAlign w:val="bottom"/>
            <w:gridSpan w:val="3"/>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2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3.1a</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04/01/2025</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Incorporation, filed March 31, 2025</w:t>
              </w:r>
            </w:hyperlink>
          </w:p>
        </w:tc>
        <w:tc>
          <w:tcPr>
            <w:tcW w:w="146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220" w:type="dxa"/>
            <w:vAlign w:val="bottom"/>
          </w:tcPr>
          <w:p>
            <w:pPr>
              <w:spacing w:after="0"/>
              <w:rPr>
                <w:sz w:val="17"/>
                <w:szCs w:val="17"/>
                <w:color w:val="auto"/>
              </w:rPr>
            </w:pPr>
          </w:p>
        </w:tc>
        <w:tc>
          <w:tcPr>
            <w:tcW w:w="4060" w:type="dxa"/>
            <w:vAlign w:val="bottom"/>
            <w:gridSpan w:val="24"/>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Certificate  of  Correction  of  the  Certificate  of</w:t>
              </w:r>
            </w:hyperlink>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22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04/01/2025</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Amendment of Certificate of Incorporation, filed</w:t>
              </w:r>
            </w:hyperlink>
          </w:p>
        </w:tc>
        <w:tc>
          <w:tcPr>
            <w:tcW w:w="2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24"/>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April 1, 2025</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22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Amended and Restated Bylaws</w:t>
              </w:r>
            </w:hyperlink>
          </w:p>
        </w:tc>
        <w:tc>
          <w:tcPr>
            <w:tcW w:w="1800" w:type="dxa"/>
            <w:vAlign w:val="bottom"/>
            <w:gridSpan w:val="14"/>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07/26/2021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1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Specimen Stock Certificate</w:t>
              </w:r>
            </w:hyperlink>
          </w:p>
        </w:tc>
        <w:tc>
          <w:tcPr>
            <w:tcW w:w="2080" w:type="dxa"/>
            <w:vAlign w:val="bottom"/>
            <w:gridSpan w:val="16"/>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333-256510</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07/09/2021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Description of Securities</w:t>
              </w:r>
            </w:hyperlink>
          </w:p>
        </w:tc>
        <w:tc>
          <w:tcPr>
            <w:tcW w:w="2260" w:type="dxa"/>
            <w:vAlign w:val="bottom"/>
            <w:gridSpan w:val="18"/>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03/29/2022</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Form of New Warrant</w:t>
              </w:r>
            </w:hyperlink>
          </w:p>
        </w:tc>
        <w:tc>
          <w:tcPr>
            <w:tcW w:w="2460" w:type="dxa"/>
            <w:vAlign w:val="bottom"/>
            <w:gridSpan w:val="19"/>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11/20/2025</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Form of Common Stock Purchase Warrant</w:t>
              </w:r>
            </w:hyperlink>
          </w:p>
        </w:tc>
        <w:tc>
          <w:tcPr>
            <w:tcW w:w="980" w:type="dxa"/>
            <w:vAlign w:val="bottom"/>
            <w:gridSpan w:val="10"/>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02/19/2026</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7"/>
                <w:szCs w:val="17"/>
                <w:color w:val="auto"/>
              </w:rPr>
            </w:pPr>
          </w:p>
        </w:tc>
        <w:tc>
          <w:tcPr>
            <w:tcW w:w="38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Pre-Funded  Common  Stock  Purchase</w:t>
              </w:r>
            </w:hyperlink>
          </w:p>
        </w:tc>
        <w:tc>
          <w:tcPr>
            <w:tcW w:w="220" w:type="dxa"/>
            <w:vAlign w:val="bottom"/>
            <w:gridSpan w:val="2"/>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02/19/2026</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2">
              <w:r>
                <w:rPr>
                  <w:rFonts w:ascii="Times New Roman" w:cs="Times New Roman" w:eastAsia="Times New Roman" w:hAnsi="Times New Roman"/>
                  <w:sz w:val="18"/>
                  <w:szCs w:val="18"/>
                  <w:color w:val="0000EE"/>
                  <w:w w:val="94"/>
                </w:rPr>
                <w:t>Warrant</w:t>
              </w:r>
            </w:hyperlink>
          </w:p>
        </w:tc>
        <w:tc>
          <w:tcPr>
            <w:tcW w:w="3480" w:type="dxa"/>
            <w:vAlign w:val="bottom"/>
            <w:gridSpan w:val="2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Common Stock Warrant, dated May 7,</w:t>
              </w:r>
            </w:hyperlink>
          </w:p>
        </w:tc>
        <w:tc>
          <w:tcPr>
            <w:tcW w:w="240" w:type="dxa"/>
            <w:vAlign w:val="bottom"/>
            <w:gridSpan w:val="3"/>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10.13</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08/18/2025</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24"/>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2025, between Company and Holder</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7"/>
                <w:szCs w:val="17"/>
                <w:color w:val="auto"/>
              </w:rPr>
            </w:pPr>
          </w:p>
        </w:tc>
        <w:tc>
          <w:tcPr>
            <w:tcW w:w="38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Pre-Funded  Common  Stock  Purchase</w:t>
              </w:r>
            </w:hyperlink>
          </w:p>
        </w:tc>
        <w:tc>
          <w:tcPr>
            <w:tcW w:w="220" w:type="dxa"/>
            <w:vAlign w:val="bottom"/>
            <w:gridSpan w:val="2"/>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5/21/2026</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4">
              <w:r>
                <w:rPr>
                  <w:rFonts w:ascii="Times New Roman" w:cs="Times New Roman" w:eastAsia="Times New Roman" w:hAnsi="Times New Roman"/>
                  <w:sz w:val="18"/>
                  <w:szCs w:val="18"/>
                  <w:color w:val="0000EE"/>
                  <w:w w:val="94"/>
                </w:rPr>
                <w:t>Warrant</w:t>
              </w:r>
            </w:hyperlink>
          </w:p>
        </w:tc>
        <w:tc>
          <w:tcPr>
            <w:tcW w:w="3480" w:type="dxa"/>
            <w:vAlign w:val="bottom"/>
            <w:gridSpan w:val="2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Form of Common Stock Purchase Warrant</w:t>
              </w:r>
            </w:hyperlink>
          </w:p>
        </w:tc>
        <w:tc>
          <w:tcPr>
            <w:tcW w:w="980" w:type="dxa"/>
            <w:vAlign w:val="bottom"/>
            <w:gridSpan w:val="10"/>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5/21/2026</w:t>
            </w:r>
          </w:p>
        </w:tc>
        <w:tc>
          <w:tcPr>
            <w:tcW w:w="2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X</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7"/>
                <w:szCs w:val="17"/>
                <w:color w:val="auto"/>
              </w:rPr>
            </w:pPr>
          </w:p>
        </w:tc>
        <w:tc>
          <w:tcPr>
            <w:tcW w:w="1940" w:type="dxa"/>
            <w:vAlign w:val="bottom"/>
            <w:tcBorders>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EE"/>
                <w:w w:val="99"/>
              </w:rPr>
              <w:t>Opinion of Clark Hill PLC</w:t>
            </w:r>
          </w:p>
        </w:tc>
        <w:tc>
          <w:tcPr>
            <w:tcW w:w="140" w:type="dxa"/>
            <w:vAlign w:val="bottom"/>
            <w:gridSpan w:val="2"/>
          </w:tcPr>
          <w:p>
            <w:pPr>
              <w:spacing w:after="0"/>
              <w:rPr>
                <w:sz w:val="17"/>
                <w:szCs w:val="17"/>
                <w:color w:val="auto"/>
              </w:rPr>
            </w:pPr>
          </w:p>
        </w:tc>
        <w:tc>
          <w:tcPr>
            <w:tcW w:w="780" w:type="dxa"/>
            <w:vAlign w:val="bottom"/>
            <w:gridSpan w:val="4"/>
          </w:tcPr>
          <w:p>
            <w:pPr>
              <w:spacing w:after="0"/>
              <w:rPr>
                <w:sz w:val="17"/>
                <w:szCs w:val="17"/>
                <w:color w:val="auto"/>
              </w:rPr>
            </w:pPr>
          </w:p>
        </w:tc>
        <w:tc>
          <w:tcPr>
            <w:tcW w:w="5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2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9"/>
                <w:szCs w:val="19"/>
                <w:color w:val="auto"/>
              </w:rPr>
            </w:pPr>
          </w:p>
        </w:tc>
        <w:tc>
          <w:tcPr>
            <w:tcW w:w="38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Inducement  Agreement  between  the</w:t>
              </w:r>
            </w:hyperlink>
          </w:p>
        </w:tc>
        <w:tc>
          <w:tcPr>
            <w:tcW w:w="240" w:type="dxa"/>
            <w:vAlign w:val="bottom"/>
            <w:gridSpan w:val="3"/>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11/20/2025</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Company and Armistice Capital Management LLC</w:t>
              </w:r>
            </w:hyperlink>
          </w:p>
        </w:tc>
        <w:tc>
          <w:tcPr>
            <w:tcW w:w="36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Securities Purchase Agreement, dated February 17,</w:t>
              </w:r>
            </w:hyperlink>
          </w:p>
        </w:tc>
        <w:tc>
          <w:tcPr>
            <w:tcW w:w="240" w:type="dxa"/>
            <w:vAlign w:val="bottom"/>
            <w:gridSpan w:val="3"/>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02/19/2026</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2026, between Company and Purchaser</w:t>
              </w:r>
            </w:hyperlink>
          </w:p>
        </w:tc>
        <w:tc>
          <w:tcPr>
            <w:tcW w:w="120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Amendment to Existing Warrants Agreement, dated</w:t>
              </w:r>
            </w:hyperlink>
          </w:p>
        </w:tc>
        <w:tc>
          <w:tcPr>
            <w:tcW w:w="240" w:type="dxa"/>
            <w:vAlign w:val="bottom"/>
            <w:gridSpan w:val="3"/>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02/19/2026</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February  17,  2026,  between  the  Company  and</w:t>
              </w:r>
            </w:hyperlink>
          </w:p>
        </w:tc>
        <w:tc>
          <w:tcPr>
            <w:tcW w:w="2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Purchaser</w:t>
              </w:r>
            </w:hyperlink>
          </w:p>
        </w:tc>
        <w:tc>
          <w:tcPr>
            <w:tcW w:w="334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4060" w:type="dxa"/>
            <w:vAlign w:val="bottom"/>
            <w:gridSpan w:val="24"/>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Lock-up Agreement</w:t>
              </w:r>
            </w:hyperlink>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333-393396</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10.42</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02/11/2026</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Form of Indemnification Agreement between HCW</w:t>
              </w:r>
            </w:hyperlink>
          </w:p>
        </w:tc>
        <w:tc>
          <w:tcPr>
            <w:tcW w:w="240" w:type="dxa"/>
            <w:vAlign w:val="bottom"/>
            <w:gridSpan w:val="3"/>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333-256510</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07/09/2021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Biologics Inc. and each of its officers and directors.</w:t>
              </w:r>
            </w:hyperlink>
          </w:p>
        </w:tc>
        <w:tc>
          <w:tcPr>
            <w:tcW w:w="3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220" w:type="dxa"/>
            <w:vAlign w:val="bottom"/>
          </w:tcPr>
          <w:p>
            <w:pPr>
              <w:spacing w:after="0"/>
              <w:rPr>
                <w:sz w:val="17"/>
                <w:szCs w:val="17"/>
                <w:color w:val="auto"/>
              </w:rPr>
            </w:pPr>
          </w:p>
        </w:tc>
        <w:tc>
          <w:tcPr>
            <w:tcW w:w="38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2019 Equity Incentive Plan, as amended, and forms</w:t>
              </w:r>
            </w:hyperlink>
          </w:p>
        </w:tc>
        <w:tc>
          <w:tcPr>
            <w:tcW w:w="200" w:type="dxa"/>
            <w:vAlign w:val="bottom"/>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333-256510</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07/09/2021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of agreement thereunder.</w:t>
              </w:r>
            </w:hyperlink>
          </w:p>
        </w:tc>
        <w:tc>
          <w:tcPr>
            <w:tcW w:w="226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10.7+</w:t>
            </w:r>
          </w:p>
        </w:tc>
        <w:tc>
          <w:tcPr>
            <w:tcW w:w="220" w:type="dxa"/>
            <w:vAlign w:val="bottom"/>
          </w:tcPr>
          <w:p>
            <w:pPr>
              <w:spacing w:after="0"/>
              <w:rPr>
                <w:sz w:val="17"/>
                <w:szCs w:val="17"/>
                <w:color w:val="auto"/>
              </w:rPr>
            </w:pPr>
          </w:p>
        </w:tc>
        <w:tc>
          <w:tcPr>
            <w:tcW w:w="4060" w:type="dxa"/>
            <w:vAlign w:val="bottom"/>
            <w:gridSpan w:val="24"/>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First Amendment to 2019 Equity Incentive Plan.</w:t>
              </w:r>
            </w:hyperlink>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333-256510</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07/09/2021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580" w:type="dxa"/>
            <w:vAlign w:val="bottom"/>
            <w:gridSpan w:val="1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22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2021 Equity Incentive Plan and forms of agreement</w:t>
              </w:r>
            </w:hyperlink>
          </w:p>
        </w:tc>
        <w:tc>
          <w:tcPr>
            <w:tcW w:w="240" w:type="dxa"/>
            <w:vAlign w:val="bottom"/>
            <w:gridSpan w:val="3"/>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333-256510</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07/09/2021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thereunder</w:t>
              </w:r>
            </w:hyperlink>
          </w:p>
        </w:tc>
        <w:tc>
          <w:tcPr>
            <w:tcW w:w="3280" w:type="dxa"/>
            <w:vAlign w:val="bottom"/>
            <w:gridSpan w:val="21"/>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22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Employment  Agreement,  dated  July  6,  2021,</w:t>
              </w:r>
            </w:hyperlink>
          </w:p>
        </w:tc>
        <w:tc>
          <w:tcPr>
            <w:tcW w:w="240" w:type="dxa"/>
            <w:vAlign w:val="bottom"/>
            <w:gridSpan w:val="3"/>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333-256510</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07/09/2021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between Peter Rhode and HCW Biologics Inc.</w:t>
              </w:r>
            </w:hyperlink>
          </w:p>
        </w:tc>
        <w:tc>
          <w:tcPr>
            <w:tcW w:w="70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Employment Agreement, dated October 9, 2019,</w:t>
              </w:r>
            </w:hyperlink>
          </w:p>
        </w:tc>
        <w:tc>
          <w:tcPr>
            <w:tcW w:w="240" w:type="dxa"/>
            <w:vAlign w:val="bottom"/>
            <w:gridSpan w:val="3"/>
          </w:tcPr>
          <w:p>
            <w:pPr>
              <w:spacing w:after="0"/>
              <w:rPr>
                <w:sz w:val="17"/>
                <w:szCs w:val="17"/>
                <w:color w:val="auto"/>
              </w:rPr>
            </w:pPr>
          </w:p>
        </w:tc>
        <w:tc>
          <w:tcPr>
            <w:tcW w:w="112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333-256510</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07/09/2021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between Rebecca Byam and HCW Biologics Inc.</w:t>
              </w:r>
            </w:hyperlink>
          </w:p>
        </w:tc>
        <w:tc>
          <w:tcPr>
            <w:tcW w:w="50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furnished</w:t>
            </w:r>
          </w:p>
        </w:tc>
        <w:tc>
          <w:tcPr>
            <w:tcW w:w="0" w:type="dxa"/>
            <w:vAlign w:val="bottom"/>
          </w:tcPr>
          <w:p>
            <w:pPr>
              <w:spacing w:after="0"/>
              <w:rPr>
                <w:sz w:val="1"/>
                <w:szCs w:val="1"/>
                <w:color w:val="auto"/>
              </w:rPr>
            </w:pPr>
          </w:p>
        </w:tc>
      </w:tr>
      <w:tr>
        <w:trPr>
          <w:trHeight w:val="79"/>
        </w:trPr>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gridSpan w:val="21"/>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220" w:type="dxa"/>
            <w:vAlign w:val="bottom"/>
          </w:tcPr>
          <w:p>
            <w:pPr>
              <w:spacing w:after="0"/>
              <w:rPr>
                <w:sz w:val="20"/>
                <w:szCs w:val="20"/>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2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10.11+</w:t>
            </w:r>
          </w:p>
        </w:tc>
        <w:tc>
          <w:tcPr>
            <w:tcW w:w="220" w:type="dxa"/>
            <w:vAlign w:val="bottom"/>
          </w:tcPr>
          <w:p>
            <w:pPr>
              <w:spacing w:after="0"/>
              <w:rPr>
                <w:sz w:val="14"/>
                <w:szCs w:val="14"/>
                <w:color w:val="auto"/>
              </w:rPr>
            </w:pPr>
          </w:p>
        </w:tc>
        <w:tc>
          <w:tcPr>
            <w:tcW w:w="3960" w:type="dxa"/>
            <w:vAlign w:val="bottom"/>
            <w:tcBorders>
              <w:top w:val="single" w:sz="8" w:color="auto"/>
            </w:tcBorders>
            <w:gridSpan w:val="22"/>
          </w:tcPr>
          <w:p>
            <w:pPr>
              <w:spacing w:after="0" w:line="169"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Non-Employee Director Compensation Policy.</w:t>
              </w:r>
            </w:hyperlink>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S-1/A</w:t>
            </w:r>
          </w:p>
        </w:tc>
        <w:tc>
          <w:tcPr>
            <w:tcW w:w="220" w:type="dxa"/>
            <w:vAlign w:val="bottom"/>
          </w:tcPr>
          <w:p>
            <w:pPr>
              <w:spacing w:after="0"/>
              <w:rPr>
                <w:sz w:val="14"/>
                <w:szCs w:val="14"/>
                <w:color w:val="auto"/>
              </w:rPr>
            </w:pPr>
          </w:p>
        </w:tc>
        <w:tc>
          <w:tcPr>
            <w:tcW w:w="11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333-256510</w:t>
            </w:r>
          </w:p>
        </w:tc>
        <w:tc>
          <w:tcPr>
            <w:tcW w:w="2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07/09/2021</w:t>
            </w: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17"/>
                <w:szCs w:val="17"/>
                <w:color w:val="auto"/>
              </w:rPr>
            </w:pPr>
          </w:p>
        </w:tc>
        <w:tc>
          <w:tcPr>
            <w:tcW w:w="39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Employment  Agreement,  dated  June  18,  2021,</w:t>
              </w:r>
            </w:hyperlink>
          </w:p>
        </w:tc>
        <w:tc>
          <w:tcPr>
            <w:tcW w:w="12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333-256510</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10.13</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07/09/2021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23"/>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between Dr. Hing C. Wong and HCW Biologics Inc.</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220" w:type="dxa"/>
            <w:vAlign w:val="bottom"/>
          </w:tcPr>
          <w:p>
            <w:pPr>
              <w:spacing w:after="0"/>
              <w:rPr>
                <w:sz w:val="17"/>
                <w:szCs w:val="17"/>
                <w:color w:val="auto"/>
              </w:rPr>
            </w:pPr>
          </w:p>
        </w:tc>
        <w:tc>
          <w:tcPr>
            <w:tcW w:w="37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Executive Incentive Bonus Plan</w:t>
              </w:r>
            </w:hyperlink>
          </w:p>
        </w:tc>
        <w:tc>
          <w:tcPr>
            <w:tcW w:w="280" w:type="dxa"/>
            <w:vAlign w:val="bottom"/>
            <w:gridSpan w:val="10"/>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333-256510</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10.11</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07/09/2021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10.14†</w:t>
            </w:r>
          </w:p>
        </w:tc>
        <w:tc>
          <w:tcPr>
            <w:tcW w:w="22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Exclusive License Agreement, dated December 24,</w:t>
              </w:r>
            </w:hyperlink>
          </w:p>
        </w:tc>
        <w:tc>
          <w:tcPr>
            <w:tcW w:w="20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333-256510</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10.10</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07/09/2021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2020, between HCW Biologics Inc. and Wugen, Inc.</w:t>
              </w:r>
            </w:hyperlink>
          </w:p>
        </w:tc>
        <w:tc>
          <w:tcPr>
            <w:tcW w:w="2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10.15†</w:t>
            </w:r>
          </w:p>
        </w:tc>
        <w:tc>
          <w:tcPr>
            <w:tcW w:w="220" w:type="dxa"/>
            <w:vAlign w:val="bottom"/>
          </w:tcPr>
          <w:p>
            <w:pPr>
              <w:spacing w:after="0"/>
              <w:rPr>
                <w:sz w:val="17"/>
                <w:szCs w:val="17"/>
                <w:color w:val="auto"/>
              </w:rPr>
            </w:pPr>
          </w:p>
        </w:tc>
        <w:tc>
          <w:tcPr>
            <w:tcW w:w="39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Master Services Agreement, dated March 14, 2019,</w:t>
              </w:r>
            </w:hyperlink>
          </w:p>
        </w:tc>
        <w:tc>
          <w:tcPr>
            <w:tcW w:w="12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333-256510</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07/09/2021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between HCW Biologics Inc. and EirGenix, Inc.</w:t>
              </w:r>
            </w:hyperlink>
          </w:p>
        </w:tc>
        <w:tc>
          <w:tcPr>
            <w:tcW w:w="56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220" w:type="dxa"/>
            <w:vAlign w:val="bottom"/>
          </w:tcPr>
          <w:p>
            <w:pPr>
              <w:spacing w:after="0"/>
              <w:rPr>
                <w:sz w:val="17"/>
                <w:szCs w:val="17"/>
                <w:color w:val="auto"/>
              </w:rPr>
            </w:pPr>
          </w:p>
        </w:tc>
        <w:tc>
          <w:tcPr>
            <w:tcW w:w="38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Purchase and  Sale  Agreement,  by  and  between</w:t>
              </w:r>
            </w:hyperlink>
          </w:p>
        </w:tc>
        <w:tc>
          <w:tcPr>
            <w:tcW w:w="180" w:type="dxa"/>
            <w:vAlign w:val="bottom"/>
            <w:gridSpan w:val="5"/>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08/12/2022</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HCW Biologics Inc. and Wai 3300 Corporate Way,</w:t>
              </w:r>
            </w:hyperlink>
          </w:p>
        </w:tc>
        <w:tc>
          <w:tcPr>
            <w:tcW w:w="20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LLC, dated May 27, 2022</w:t>
              </w:r>
            </w:hyperlink>
          </w:p>
        </w:tc>
        <w:tc>
          <w:tcPr>
            <w:tcW w:w="218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10.17#</w:t>
            </w:r>
          </w:p>
        </w:tc>
        <w:tc>
          <w:tcPr>
            <w:tcW w:w="22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Loan Agreement by and between HCW Biologics</w:t>
              </w:r>
            </w:hyperlink>
          </w:p>
        </w:tc>
        <w:tc>
          <w:tcPr>
            <w:tcW w:w="20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11/07/2022</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Inc. and Cogent Bank, dated August 15, 2022</w:t>
              </w:r>
            </w:hyperlink>
          </w:p>
        </w:tc>
        <w:tc>
          <w:tcPr>
            <w:tcW w:w="70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10.18#</w:t>
            </w:r>
          </w:p>
        </w:tc>
        <w:tc>
          <w:tcPr>
            <w:tcW w:w="22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Mortgage and Security Agreement by and between</w:t>
              </w:r>
            </w:hyperlink>
          </w:p>
        </w:tc>
        <w:tc>
          <w:tcPr>
            <w:tcW w:w="20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11/07/2022</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HCW Biologics Inc. and Cogent Bank, dated August</w:t>
              </w:r>
            </w:hyperlink>
          </w:p>
        </w:tc>
        <w:tc>
          <w:tcPr>
            <w:tcW w:w="20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15, 2022</w:t>
              </w:r>
            </w:hyperlink>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10.19</w:t>
            </w:r>
          </w:p>
        </w:tc>
        <w:tc>
          <w:tcPr>
            <w:tcW w:w="22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Subscription Agreement, dated February</w:t>
              </w:r>
            </w:hyperlink>
          </w:p>
        </w:tc>
        <w:tc>
          <w:tcPr>
            <w:tcW w:w="20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02/22/2024</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20, 2024, by and between the Company and the</w:t>
              </w:r>
            </w:hyperlink>
          </w:p>
        </w:tc>
        <w:tc>
          <w:tcPr>
            <w:tcW w:w="1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23"/>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Subscribers party thereto</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10.20</w:t>
            </w:r>
          </w:p>
        </w:tc>
        <w:tc>
          <w:tcPr>
            <w:tcW w:w="22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Amended and Restated Senior Secured</w:t>
              </w:r>
            </w:hyperlink>
          </w:p>
        </w:tc>
        <w:tc>
          <w:tcPr>
            <w:tcW w:w="20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08/14/2024</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Note Purchase Agreement, dated July 2, 2024, by</w:t>
              </w:r>
            </w:hyperlink>
          </w:p>
        </w:tc>
        <w:tc>
          <w:tcPr>
            <w:tcW w:w="22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and between the Company and the Purchase party</w:t>
              </w:r>
            </w:hyperlink>
          </w:p>
        </w:tc>
        <w:tc>
          <w:tcPr>
            <w:tcW w:w="24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23"/>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thereto</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10.21</w:t>
            </w:r>
          </w:p>
        </w:tc>
        <w:tc>
          <w:tcPr>
            <w:tcW w:w="22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Form of Amended and Restated Pledge Agreement,</w:t>
              </w:r>
            </w:hyperlink>
          </w:p>
        </w:tc>
        <w:tc>
          <w:tcPr>
            <w:tcW w:w="20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08/14/2024</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dated July 2, 2024, by and among the Company,</w:t>
              </w:r>
            </w:hyperlink>
          </w:p>
        </w:tc>
        <w:tc>
          <w:tcPr>
            <w:tcW w:w="24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Escrow Agent and Noteholder parties thereto</w:t>
              </w:r>
            </w:hyperlink>
          </w:p>
        </w:tc>
        <w:tc>
          <w:tcPr>
            <w:tcW w:w="80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10.22</w:t>
            </w:r>
          </w:p>
        </w:tc>
        <w:tc>
          <w:tcPr>
            <w:tcW w:w="22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Escrow Agreement, dated May 1, 2025, by</w:t>
              </w:r>
            </w:hyperlink>
          </w:p>
        </w:tc>
        <w:tc>
          <w:tcPr>
            <w:tcW w:w="20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08/14/2024</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and  between  the  Company,  Escrow  Agent  and</w:t>
              </w:r>
            </w:hyperlink>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Noteholder party thereto</w:t>
              </w:r>
            </w:hyperlink>
          </w:p>
        </w:tc>
        <w:tc>
          <w:tcPr>
            <w:tcW w:w="226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10.23</w:t>
            </w:r>
          </w:p>
        </w:tc>
        <w:tc>
          <w:tcPr>
            <w:tcW w:w="220" w:type="dxa"/>
            <w:vAlign w:val="bottom"/>
          </w:tcPr>
          <w:p>
            <w:pPr>
              <w:spacing w:after="0"/>
              <w:rPr>
                <w:sz w:val="17"/>
                <w:szCs w:val="17"/>
                <w:color w:val="auto"/>
              </w:rPr>
            </w:pPr>
          </w:p>
        </w:tc>
        <w:tc>
          <w:tcPr>
            <w:tcW w:w="3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First Amendment to Amended and Restated</w:t>
              </w:r>
            </w:hyperlink>
          </w:p>
        </w:tc>
        <w:tc>
          <w:tcPr>
            <w:tcW w:w="14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11/14/2024</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Secured Note Purchase Agreement, dated September</w:t>
              </w:r>
            </w:hyperlink>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30,  2024,  by  and  between  the  Company  and</w:t>
              </w:r>
            </w:hyperlink>
          </w:p>
        </w:tc>
        <w:tc>
          <w:tcPr>
            <w:tcW w:w="22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r:id="rId49">
              <w:r>
                <w:rPr>
                  <w:rFonts w:ascii="Times New Roman" w:cs="Times New Roman" w:eastAsia="Times New Roman" w:hAnsi="Times New Roman"/>
                  <w:sz w:val="18"/>
                  <w:szCs w:val="18"/>
                  <w:color w:val="0000EE"/>
                  <w:w w:val="95"/>
                </w:rPr>
                <w:t>Purchaser party thereto</w:t>
              </w:r>
            </w:hyperlink>
          </w:p>
        </w:tc>
        <w:tc>
          <w:tcPr>
            <w:tcW w:w="2420" w:type="dxa"/>
            <w:vAlign w:val="bottom"/>
            <w:gridSpan w:val="19"/>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10.24</w:t>
            </w:r>
          </w:p>
        </w:tc>
        <w:tc>
          <w:tcPr>
            <w:tcW w:w="220" w:type="dxa"/>
            <w:vAlign w:val="bottom"/>
          </w:tcPr>
          <w:p>
            <w:pPr>
              <w:spacing w:after="0"/>
              <w:rPr>
                <w:sz w:val="17"/>
                <w:szCs w:val="17"/>
                <w:color w:val="auto"/>
              </w:rPr>
            </w:pPr>
          </w:p>
        </w:tc>
        <w:tc>
          <w:tcPr>
            <w:tcW w:w="38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Secured Promissory Note by and between</w:t>
              </w:r>
            </w:hyperlink>
          </w:p>
        </w:tc>
        <w:tc>
          <w:tcPr>
            <w:tcW w:w="180" w:type="dxa"/>
            <w:vAlign w:val="bottom"/>
            <w:gridSpan w:val="5"/>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08/14/2024</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23"/>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the Company and the Holder party thereof</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gridSpan w:val="4"/>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10.25</w:t>
            </w:r>
          </w:p>
        </w:tc>
        <w:tc>
          <w:tcPr>
            <w:tcW w:w="220" w:type="dxa"/>
            <w:vAlign w:val="bottom"/>
          </w:tcPr>
          <w:p>
            <w:pPr>
              <w:spacing w:after="0"/>
              <w:rPr>
                <w:sz w:val="17"/>
                <w:szCs w:val="17"/>
                <w:color w:val="auto"/>
              </w:rPr>
            </w:pPr>
          </w:p>
        </w:tc>
        <w:tc>
          <w:tcPr>
            <w:tcW w:w="3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Second  Amendment  to  Amended  and  Restated</w:t>
              </w:r>
            </w:hyperlink>
          </w:p>
        </w:tc>
        <w:tc>
          <w:tcPr>
            <w:tcW w:w="240" w:type="dxa"/>
            <w:vAlign w:val="bottom"/>
            <w:gridSpan w:val="8"/>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08/18/2025</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Senior  Secured  Note  Purchase  Agreement  and</w:t>
              </w:r>
            </w:hyperlink>
          </w:p>
        </w:tc>
        <w:tc>
          <w:tcPr>
            <w:tcW w:w="18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Related Agreements, dated May 1, 2025, between</w:t>
              </w:r>
            </w:hyperlink>
          </w:p>
        </w:tc>
        <w:tc>
          <w:tcPr>
            <w:tcW w:w="24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Company and Holder</w:t>
              </w:r>
            </w:hyperlink>
          </w:p>
        </w:tc>
        <w:tc>
          <w:tcPr>
            <w:tcW w:w="2500" w:type="dxa"/>
            <w:vAlign w:val="bottom"/>
            <w:gridSpan w:val="20"/>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22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Equity Purchase Agreement, dated February 20,</w:t>
              </w:r>
            </w:hyperlink>
          </w:p>
        </w:tc>
        <w:tc>
          <w:tcPr>
            <w:tcW w:w="20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2/21/2025</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2025,  between  the  Company  and  Square  Gate</w:t>
              </w:r>
            </w:hyperlink>
          </w:p>
        </w:tc>
        <w:tc>
          <w:tcPr>
            <w:tcW w:w="1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23"/>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Master Fund - Series 4.</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020" w:type="dxa"/>
            <w:vAlign w:val="bottom"/>
            <w:tcBorders>
              <w:left w:val="single" w:sz="8" w:color="0000EE"/>
            </w:tcBorders>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10.27</w:t>
            </w:r>
          </w:p>
        </w:tc>
        <w:tc>
          <w:tcPr>
            <w:tcW w:w="220" w:type="dxa"/>
            <w:vAlign w:val="bottom"/>
          </w:tcPr>
          <w:p>
            <w:pPr>
              <w:spacing w:after="0"/>
              <w:rPr>
                <w:sz w:val="17"/>
                <w:szCs w:val="17"/>
                <w:color w:val="auto"/>
              </w:rPr>
            </w:pPr>
          </w:p>
        </w:tc>
        <w:tc>
          <w:tcPr>
            <w:tcW w:w="3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Registration Rights Agreement, dated February 20,</w:t>
              </w:r>
            </w:hyperlink>
          </w:p>
        </w:tc>
        <w:tc>
          <w:tcPr>
            <w:tcW w:w="20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2/21/2025</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2025,  between  the  Company  and  Square  Gate</w:t>
              </w:r>
            </w:hyperlink>
          </w:p>
        </w:tc>
        <w:tc>
          <w:tcPr>
            <w:tcW w:w="1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23"/>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Master Fund - Series 4</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220" w:type="dxa"/>
            <w:vAlign w:val="bottom"/>
          </w:tcPr>
          <w:p>
            <w:pPr>
              <w:spacing w:after="0"/>
              <w:rPr>
                <w:sz w:val="17"/>
                <w:szCs w:val="17"/>
                <w:color w:val="auto"/>
              </w:rPr>
            </w:pPr>
          </w:p>
        </w:tc>
        <w:tc>
          <w:tcPr>
            <w:tcW w:w="3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First   Amendment   to   the   Equity   Purchase</w:t>
              </w:r>
            </w:hyperlink>
          </w:p>
        </w:tc>
        <w:tc>
          <w:tcPr>
            <w:tcW w:w="220" w:type="dxa"/>
            <w:vAlign w:val="bottom"/>
            <w:gridSpan w:val="7"/>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08/15/2025</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Agreement, dated August 14, 2025, between the</w:t>
              </w:r>
            </w:hyperlink>
          </w:p>
        </w:tc>
        <w:tc>
          <w:tcPr>
            <w:tcW w:w="24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23"/>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Company and Square Gate Master Fund - Series 4.</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318"/>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220" w:type="dxa"/>
            <w:vAlign w:val="bottom"/>
          </w:tcPr>
          <w:p>
            <w:pPr>
              <w:spacing w:after="0"/>
              <w:rPr>
                <w:sz w:val="24"/>
                <w:szCs w:val="24"/>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20" w:type="dxa"/>
            <w:vAlign w:val="bottom"/>
          </w:tcPr>
          <w:p>
            <w:pPr>
              <w:spacing w:after="0"/>
              <w:rPr>
                <w:sz w:val="24"/>
                <w:szCs w:val="24"/>
                <w:color w:val="auto"/>
              </w:rPr>
            </w:pP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69"/>
        </w:trPr>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10.29</w:t>
            </w:r>
          </w:p>
        </w:tc>
        <w:tc>
          <w:tcPr>
            <w:tcW w:w="220" w:type="dxa"/>
            <w:vAlign w:val="bottom"/>
          </w:tcPr>
          <w:p>
            <w:pPr>
              <w:spacing w:after="0"/>
              <w:rPr>
                <w:sz w:val="14"/>
                <w:szCs w:val="14"/>
                <w:color w:val="auto"/>
              </w:rPr>
            </w:pPr>
          </w:p>
        </w:tc>
        <w:tc>
          <w:tcPr>
            <w:tcW w:w="3820" w:type="dxa"/>
            <w:vAlign w:val="bottom"/>
            <w:tcBorders>
              <w:bottom w:val="single" w:sz="8" w:color="0000EE"/>
            </w:tcBorders>
            <w:gridSpan w:val="14"/>
          </w:tcPr>
          <w:p>
            <w:pPr>
              <w:spacing w:after="0" w:line="169"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Amended  and  Restated  Amended  and  Restated</w:t>
              </w:r>
            </w:hyperlink>
          </w:p>
        </w:tc>
        <w:tc>
          <w:tcPr>
            <w:tcW w:w="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c>
          <w:tcPr>
            <w:tcW w:w="22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333-293396</w:t>
            </w:r>
          </w:p>
        </w:tc>
        <w:tc>
          <w:tcPr>
            <w:tcW w:w="22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10.40</w:t>
            </w:r>
          </w:p>
        </w:tc>
        <w:tc>
          <w:tcPr>
            <w:tcW w:w="22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02/11/2026</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License, Research and Co-Development Agreement,</w:t>
              </w:r>
            </w:hyperlink>
          </w:p>
        </w:tc>
        <w:tc>
          <w:tcPr>
            <w:tcW w:w="2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dated November 17, 2025, between the Company</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and Beijing Trimmune Biotech Co., Ltd.</w:t>
              </w:r>
            </w:hyperlink>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22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Amendment 1 to Amended and Restated License,</w:t>
              </w:r>
            </w:hyperlink>
          </w:p>
        </w:tc>
        <w:tc>
          <w:tcPr>
            <w:tcW w:w="24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333-293396</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10.43</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02/11/2026</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Research and Co-Development Agreement, dated</w:t>
              </w:r>
            </w:hyperlink>
          </w:p>
        </w:tc>
        <w:tc>
          <w:tcPr>
            <w:tcW w:w="2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January 27, 2026, between the Company and Beijing</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Trimmune Biotech Co., Ltd.</w:t>
              </w:r>
            </w:hyperlink>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22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Shareholder Purchase Agreement, dated October 10,</w:t>
              </w:r>
            </w:hyperlink>
          </w:p>
        </w:tc>
        <w:tc>
          <w:tcPr>
            <w:tcW w:w="24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333-293396</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10.44</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02/11/2026</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2025, between co-founders of Beijing Trimmune</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Biotech Co., Ltd., including the Company</w:t>
              </w:r>
            </w:hyperlink>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10.32</w:t>
            </w:r>
          </w:p>
        </w:tc>
        <w:tc>
          <w:tcPr>
            <w:tcW w:w="2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Exclusive</w:t>
              </w:r>
            </w:hyperlink>
          </w:p>
        </w:tc>
        <w:tc>
          <w:tcPr>
            <w:tcW w:w="1020" w:type="dxa"/>
            <w:vAlign w:val="bottom"/>
            <w:tcBorders>
              <w:top w:val="single" w:sz="8" w:color="0000EE"/>
              <w:bottom w:val="single" w:sz="8" w:color="0000EE"/>
            </w:tcBorders>
            <w:gridSpan w:val="3"/>
          </w:tcPr>
          <w:p>
            <w:pPr>
              <w:ind w:left="160"/>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License</w:t>
              </w:r>
            </w:hyperlink>
          </w:p>
        </w:tc>
        <w:tc>
          <w:tcPr>
            <w:tcW w:w="1100" w:type="dxa"/>
            <w:vAlign w:val="bottom"/>
            <w:tcBorders>
              <w:top w:val="single" w:sz="8" w:color="0000EE"/>
              <w:bottom w:val="single" w:sz="8" w:color="0000EE"/>
            </w:tcBorders>
            <w:gridSpan w:val="4"/>
          </w:tcPr>
          <w:p>
            <w:pPr>
              <w:ind w:left="40"/>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Agreement</w:t>
              </w:r>
            </w:hyperlink>
          </w:p>
        </w:tc>
        <w:tc>
          <w:tcPr>
            <w:tcW w:w="40" w:type="dxa"/>
            <w:vAlign w:val="bottom"/>
            <w:tcBorders>
              <w:bottom w:val="single" w:sz="8" w:color="0000EE"/>
            </w:tcBorders>
          </w:tcPr>
          <w:p>
            <w:pPr>
              <w:spacing w:after="0"/>
              <w:rPr>
                <w:sz w:val="17"/>
                <w:szCs w:val="17"/>
                <w:color w:val="auto"/>
              </w:rPr>
            </w:pPr>
          </w:p>
        </w:tc>
        <w:tc>
          <w:tcPr>
            <w:tcW w:w="760" w:type="dxa"/>
            <w:vAlign w:val="bottom"/>
            <w:tcBorders>
              <w:bottom w:val="single" w:sz="8" w:color="0000EE"/>
            </w:tcBorders>
            <w:gridSpan w:val="4"/>
          </w:tcPr>
          <w:p>
            <w:pPr>
              <w:ind w:left="40"/>
              <w:spacing w:after="0" w:line="196" w:lineRule="exact"/>
              <w:rPr>
                <w:rFonts w:ascii="Times New Roman" w:cs="Times New Roman" w:eastAsia="Times New Roman" w:hAnsi="Times New Roman"/>
                <w:sz w:val="18"/>
                <w:szCs w:val="18"/>
                <w:color w:val="0000EE"/>
                <w:w w:val="97"/>
              </w:rPr>
            </w:pPr>
            <w:hyperlink r:id="rId59">
              <w:r>
                <w:rPr>
                  <w:rFonts w:ascii="Times New Roman" w:cs="Times New Roman" w:eastAsia="Times New Roman" w:hAnsi="Times New Roman"/>
                  <w:sz w:val="18"/>
                  <w:szCs w:val="18"/>
                  <w:color w:val="0000EE"/>
                  <w:w w:val="97"/>
                </w:rPr>
                <w:t>12-Month</w:t>
              </w:r>
            </w:hyperlink>
          </w:p>
        </w:tc>
        <w:tc>
          <w:tcPr>
            <w:tcW w:w="24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08/18/2025</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Suspension,  dated  May  29,  2025,  between  the</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Company and Wugen, Inc.</w:t>
              </w:r>
            </w:hyperlink>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10.33</w:t>
            </w:r>
          </w:p>
        </w:tc>
        <w:tc>
          <w:tcPr>
            <w:tcW w:w="220" w:type="dxa"/>
            <w:vAlign w:val="bottom"/>
          </w:tcPr>
          <w:p>
            <w:pPr>
              <w:spacing w:after="0"/>
              <w:rPr>
                <w:sz w:val="17"/>
                <w:szCs w:val="17"/>
                <w:color w:val="auto"/>
              </w:rPr>
            </w:pPr>
          </w:p>
        </w:tc>
        <w:tc>
          <w:tcPr>
            <w:tcW w:w="38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Settlement Agreement and Release, dated July 13,</w:t>
              </w:r>
            </w:hyperlink>
          </w:p>
        </w:tc>
        <w:tc>
          <w:tcPr>
            <w:tcW w:w="22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11/14/2024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2024,  by and  between  the  Company  and Altor</w:t>
              </w:r>
            </w:hyperlink>
          </w:p>
        </w:tc>
        <w:tc>
          <w:tcPr>
            <w:tcW w:w="2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BioScience, LLC, NantCell, Inc., and ImmunityBio,</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60">
              <w:r>
                <w:rPr>
                  <w:rFonts w:ascii="Times New Roman" w:cs="Times New Roman" w:eastAsia="Times New Roman" w:hAnsi="Times New Roman"/>
                  <w:sz w:val="18"/>
                  <w:szCs w:val="18"/>
                  <w:color w:val="0000EE"/>
                  <w:w w:val="94"/>
                </w:rPr>
                <w:t>Inc.</w:t>
              </w:r>
            </w:hyperlink>
          </w:p>
        </w:tc>
        <w:tc>
          <w:tcPr>
            <w:tcW w:w="6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10.34</w:t>
            </w:r>
          </w:p>
        </w:tc>
        <w:tc>
          <w:tcPr>
            <w:tcW w:w="22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Placement Agency Agreement, dated February 17,</w:t>
              </w:r>
            </w:hyperlink>
          </w:p>
        </w:tc>
        <w:tc>
          <w:tcPr>
            <w:tcW w:w="24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02/19/2026</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2026, between the Company and Maxim Group LLC</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10.35</w:t>
            </w:r>
          </w:p>
        </w:tc>
        <w:tc>
          <w:tcPr>
            <w:tcW w:w="2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62">
              <w:r>
                <w:rPr>
                  <w:rFonts w:ascii="Times New Roman" w:cs="Times New Roman" w:eastAsia="Times New Roman" w:hAnsi="Times New Roman"/>
                  <w:sz w:val="18"/>
                  <w:szCs w:val="18"/>
                  <w:color w:val="0000EE"/>
                  <w:w w:val="98"/>
                </w:rPr>
                <w:t>Form of Securities Purchase Agreement</w:t>
              </w:r>
            </w:hyperlink>
          </w:p>
        </w:tc>
        <w:tc>
          <w:tcPr>
            <w:tcW w:w="180" w:type="dxa"/>
            <w:vAlign w:val="bottom"/>
            <w:tcBorders>
              <w:top w:val="single" w:sz="8" w:color="0000EE"/>
            </w:tcBorders>
            <w:gridSpan w:val="2"/>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5/21/2026</w:t>
            </w: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10.36</w:t>
            </w:r>
          </w:p>
        </w:tc>
        <w:tc>
          <w:tcPr>
            <w:tcW w:w="220" w:type="dxa"/>
            <w:vAlign w:val="bottom"/>
          </w:tcPr>
          <w:p>
            <w:pPr>
              <w:spacing w:after="0"/>
              <w:rPr>
                <w:sz w:val="17"/>
                <w:szCs w:val="17"/>
                <w:color w:val="auto"/>
              </w:rPr>
            </w:pP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Registration Rights Agreement by and</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5/21/2026</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between the Company and the Investors</w:t>
              </w:r>
            </w:hyperlink>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10.37</w:t>
            </w:r>
          </w:p>
        </w:tc>
        <w:tc>
          <w:tcPr>
            <w:tcW w:w="220" w:type="dxa"/>
            <w:vAlign w:val="bottom"/>
          </w:tcPr>
          <w:p>
            <w:pPr>
              <w:spacing w:after="0"/>
              <w:rPr>
                <w:sz w:val="17"/>
                <w:szCs w:val="17"/>
                <w:color w:val="auto"/>
              </w:rPr>
            </w:pP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Placement Agency Agreement, by and</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001-40591</w:t>
            </w:r>
          </w:p>
        </w:tc>
        <w:tc>
          <w:tcPr>
            <w:tcW w:w="11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8"/>
              </w:rPr>
              <w:t>5/21/2026</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between the Company and E.F. Hutton &amp; Co. LLC</w:t>
              </w:r>
            </w:hyperlink>
          </w:p>
        </w:tc>
        <w:tc>
          <w:tcPr>
            <w:tcW w:w="2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10.38*</w:t>
            </w:r>
          </w:p>
        </w:tc>
        <w:tc>
          <w:tcPr>
            <w:tcW w:w="220" w:type="dxa"/>
            <w:vAlign w:val="bottom"/>
          </w:tcPr>
          <w:p>
            <w:pPr>
              <w:spacing w:after="0"/>
              <w:rPr>
                <w:sz w:val="17"/>
                <w:szCs w:val="17"/>
                <w:color w:val="auto"/>
              </w:rPr>
            </w:pPr>
          </w:p>
        </w:tc>
        <w:tc>
          <w:tcPr>
            <w:tcW w:w="30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of Lock-Up Agreement</w:t>
              </w:r>
            </w:hyperlink>
          </w:p>
        </w:tc>
        <w:tc>
          <w:tcPr>
            <w:tcW w:w="6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23.1*</w:t>
            </w:r>
          </w:p>
        </w:tc>
        <w:tc>
          <w:tcPr>
            <w:tcW w:w="220" w:type="dxa"/>
            <w:vAlign w:val="bottom"/>
          </w:tcPr>
          <w:p>
            <w:pPr>
              <w:spacing w:after="0"/>
              <w:rPr>
                <w:sz w:val="17"/>
                <w:szCs w:val="17"/>
                <w:color w:val="auto"/>
              </w:rPr>
            </w:pPr>
          </w:p>
        </w:tc>
        <w:tc>
          <w:tcPr>
            <w:tcW w:w="4060" w:type="dxa"/>
            <w:vAlign w:val="bottom"/>
            <w:gridSpan w:val="17"/>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Consent   of   Independent   Registered   Public</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Accounting Firm</w:t>
              </w:r>
            </w:hyperlink>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17"/>
                <w:szCs w:val="17"/>
                <w:color w:val="auto"/>
              </w:rPr>
            </w:pPr>
          </w:p>
        </w:tc>
        <w:tc>
          <w:tcPr>
            <w:tcW w:w="40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Opinion of Clark Hill PLC (included in Exhibit 5.1)</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220" w:type="dxa"/>
            <w:vAlign w:val="bottom"/>
          </w:tcPr>
          <w:p>
            <w:pPr>
              <w:spacing w:after="0"/>
              <w:rPr>
                <w:sz w:val="18"/>
                <w:szCs w:val="18"/>
                <w:color w:val="auto"/>
              </w:rPr>
            </w:pPr>
          </w:p>
        </w:tc>
        <w:tc>
          <w:tcPr>
            <w:tcW w:w="30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8"/>
                <w:szCs w:val="18"/>
                <w:color w:val="auto"/>
              </w:rPr>
            </w:pPr>
          </w:p>
        </w:tc>
        <w:tc>
          <w:tcPr>
            <w:tcW w:w="4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18"/>
                <w:szCs w:val="18"/>
                <w:color w:val="auto"/>
              </w:rPr>
            </w:pPr>
          </w:p>
        </w:tc>
        <w:tc>
          <w:tcPr>
            <w:tcW w:w="4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220" w:type="dxa"/>
            <w:vAlign w:val="bottom"/>
          </w:tcPr>
          <w:p>
            <w:pPr>
              <w:spacing w:after="0"/>
              <w:rPr>
                <w:sz w:val="18"/>
                <w:szCs w:val="18"/>
                <w:color w:val="auto"/>
              </w:rPr>
            </w:pPr>
          </w:p>
        </w:tc>
        <w:tc>
          <w:tcPr>
            <w:tcW w:w="4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18"/>
                <w:szCs w:val="18"/>
                <w:color w:val="auto"/>
              </w:rPr>
            </w:pPr>
          </w:p>
        </w:tc>
        <w:tc>
          <w:tcPr>
            <w:tcW w:w="4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220" w:type="dxa"/>
            <w:vAlign w:val="bottom"/>
          </w:tcPr>
          <w:p>
            <w:pPr>
              <w:spacing w:after="0"/>
              <w:rPr>
                <w:sz w:val="18"/>
                <w:szCs w:val="18"/>
                <w:color w:val="auto"/>
              </w:rPr>
            </w:pPr>
          </w:p>
        </w:tc>
        <w:tc>
          <w:tcPr>
            <w:tcW w:w="4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4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107*</w:t>
            </w:r>
          </w:p>
        </w:tc>
        <w:tc>
          <w:tcPr>
            <w:tcW w:w="220" w:type="dxa"/>
            <w:vAlign w:val="bottom"/>
          </w:tcPr>
          <w:p>
            <w:pPr>
              <w:spacing w:after="0"/>
              <w:rPr>
                <w:sz w:val="16"/>
                <w:szCs w:val="16"/>
                <w:color w:val="auto"/>
              </w:rPr>
            </w:pPr>
          </w:p>
        </w:tc>
        <w:tc>
          <w:tcPr>
            <w:tcW w:w="118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7"/>
              </w:rPr>
            </w:pPr>
            <w:hyperlink r:id="rId67">
              <w:r>
                <w:rPr>
                  <w:rFonts w:ascii="Times New Roman" w:cs="Times New Roman" w:eastAsia="Times New Roman" w:hAnsi="Times New Roman"/>
                  <w:sz w:val="18"/>
                  <w:szCs w:val="18"/>
                  <w:color w:val="0000EE"/>
                  <w:w w:val="97"/>
                </w:rPr>
                <w:t>Filing Fee Table</w:t>
              </w:r>
            </w:hyperlink>
          </w:p>
        </w:tc>
        <w:tc>
          <w:tcPr>
            <w:tcW w:w="7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Filed or</w:t>
      </w:r>
    </w:p>
    <w:p>
      <w:pPr>
        <w:spacing w:after="0" w:line="31" w:lineRule="exact"/>
        <w:rPr>
          <w:sz w:val="20"/>
          <w:szCs w:val="20"/>
          <w:color w:val="auto"/>
        </w:rPr>
      </w:pPr>
    </w:p>
    <w:p>
      <w:pPr>
        <w:ind w:left="40" w:right="200" w:hanging="31"/>
        <w:spacing w:after="0" w:line="290" w:lineRule="auto"/>
        <w:rPr>
          <w:sz w:val="20"/>
          <w:szCs w:val="20"/>
          <w:color w:val="auto"/>
        </w:rPr>
      </w:pPr>
      <w:r>
        <w:rPr>
          <w:rFonts w:ascii="Times New Roman" w:cs="Times New Roman" w:eastAsia="Times New Roman" w:hAnsi="Times New Roman"/>
          <w:sz w:val="17"/>
          <w:szCs w:val="17"/>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-24765</wp:posOffset>
            </wp:positionV>
            <wp:extent cx="711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632" w:lineRule="exact"/>
        <w:rPr>
          <w:sz w:val="20"/>
          <w:szCs w:val="20"/>
          <w:color w:val="auto"/>
        </w:rPr>
      </w:pPr>
    </w:p>
    <w:p>
      <w:pPr>
        <w:sectPr>
          <w:pgSz w:w="11900" w:h="16838" w:orient="portrait"/>
          <w:cols w:equalWidth="0" w:num="2">
            <w:col w:w="9900" w:space="400"/>
            <w:col w:w="940"/>
          </w:cols>
          <w:pgMar w:left="320" w:top="657" w:right="33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Indicates a management contract or compensatory plan or arrangement.</w:t>
      </w:r>
    </w:p>
    <w:p>
      <w:pPr>
        <w:spacing w:after="0" w:line="225" w:lineRule="exact"/>
        <w:rPr>
          <w:sz w:val="20"/>
          <w:szCs w:val="20"/>
          <w:color w:val="auto"/>
        </w:rPr>
      </w:pPr>
    </w:p>
    <w:p>
      <w:pPr>
        <w:jc w:val="both"/>
        <w:ind w:firstLine="8"/>
        <w:spacing w:after="0" w:line="267" w:lineRule="auto"/>
        <w:tabs>
          <w:tab w:leader="none" w:pos="242"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Certain information in this document has been excluded pursuant to Item 601(b)(10) of Regulation S-K. Such excluded information is not material and is the type of information the Registrant treats as private and confidential. The Registrant agrees to furnish supplementally such information to the SEC upon request.</w:t>
      </w:r>
    </w:p>
    <w:p>
      <w:pPr>
        <w:spacing w:after="0" w:line="173" w:lineRule="exact"/>
        <w:rPr>
          <w:sz w:val="20"/>
          <w:szCs w:val="20"/>
          <w:color w:val="auto"/>
        </w:rPr>
      </w:pPr>
    </w:p>
    <w:p>
      <w:pPr>
        <w:ind w:firstLine="8"/>
        <w:spacing w:after="0" w:line="284" w:lineRule="auto"/>
        <w:tabs>
          <w:tab w:leader="none" w:pos="16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Certain information in this document has been excluded pursuant to Item 601(a)(5) or (a)(6) of Regulation S-K. The Registrant agrees to furnish supplementally such information to the SEC upon request.</w:t>
      </w:r>
    </w:p>
    <w:p>
      <w:pPr>
        <w:spacing w:after="0" w:line="158"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Previously filed.</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registration statement on Form S-1 to be signed on its behalf by the undersigned, in the city of Miramar, State of Florida, on June 18,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Hing C.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Hing C. Wong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Founder &amp; Chief Executive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registration statement on Form S-1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3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2026</w:t>
            </w:r>
          </w:p>
        </w:tc>
      </w:tr>
      <w:tr>
        <w:trPr>
          <w:trHeight w:val="22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T. Garrett</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4"/>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3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2026</w:t>
            </w:r>
          </w:p>
        </w:tc>
      </w:tr>
      <w:tr>
        <w:trPr>
          <w:trHeight w:val="22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Byam</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4"/>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3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2026</w:t>
            </w:r>
          </w:p>
        </w:tc>
      </w:tr>
      <w:tr>
        <w:trPr>
          <w:trHeight w:val="22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Hing C. Wong</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4"/>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3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6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2026</w:t>
            </w:r>
          </w:p>
        </w:tc>
      </w:tr>
      <w:tr>
        <w:trPr>
          <w:trHeight w:val="22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S. Greene</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4"/>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3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6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color w:val="auto"/>
                <w:w w:val="99"/>
              </w:rPr>
              <w:t>Director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18, 2026</w:t>
            </w:r>
          </w:p>
        </w:tc>
      </w:tr>
      <w:tr>
        <w:trPr>
          <w:trHeight w:val="22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M. Giles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Hing C. Wong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28"/>
        </w:trPr>
        <w:tc>
          <w:tcPr>
            <w:tcW w:w="340" w:type="dxa"/>
            <w:vAlign w:val="bottom"/>
          </w:tcPr>
          <w:p>
            <w:pPr>
              <w:spacing w:after="0"/>
              <w:rPr>
                <w:sz w:val="19"/>
                <w:szCs w:val="19"/>
                <w:color w:val="auto"/>
              </w:rPr>
            </w:pPr>
          </w:p>
        </w:tc>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Hing C. Wong, Attorney-in-Fact</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14"/>
        </w:trPr>
        <w:tc>
          <w:tcPr>
            <w:tcW w:w="3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color w:val="auto"/>
              </w:rPr>
              <w:t>II-4</w:t>
            </w: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571750"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1">
                      <a:extLst>
                        <a:ext uri="{28A0092B-C50C-407E-A947-70E740481C1C}"/>
                      </a:extLst>
                    </a:blip>
                    <a:srcRect/>
                    <a:stretch>
                      <a:fillRect/>
                    </a:stretch>
                  </pic:blipFill>
                  <pic:spPr bwMode="auto">
                    <a:xfrm>
                      <a:off x="0" y="0"/>
                      <a:ext cx="25717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Clark Hill</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130 E. Randolph Street, Suite 3900</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Chicago, Illinois 60601</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T (312) 985-5900</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F (312) 985-5999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 Biologics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2929 N Commerce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Miramar, Florida 33025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HCW Biologics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Resale Registration Statement Under Form S-1 (File No. 333-296577)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We have acted as counsel to HCW Biologics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of a Registration Statement on Form S-1 (as it may be amended or supplemented,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relating to the resale by the selling stockholders identified in the Registration Statement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of shares of the Company’s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Registration Statement relates to the resale of: (i) 427,046 shares of Common Stock issued on May 22, 2026 pursuant to that certain Securities Purchase Agreement, dated May 21, 2026, by and among the Company and certain accredited investors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(the “Shares”); (ii) up to 2,419,929 shares of Common Stock issuable upon the exercise of pre-funded warrants issued on May 22, 2026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and (iii) up to 2,846,975 shares of Common Stock issuable upon the exercise of common stock purchase warrants issued on May 22, 2026 (the “</w:t>
      </w:r>
      <w:r>
        <w:rPr>
          <w:rFonts w:ascii="Times New Roman" w:cs="Times New Roman" w:eastAsia="Times New Roman" w:hAnsi="Times New Roman"/>
          <w:sz w:val="18"/>
          <w:szCs w:val="18"/>
          <w:b w:val="1"/>
          <w:bCs w:val="1"/>
          <w:color w:val="auto"/>
        </w:rPr>
        <w:t>May 2026 Common Warrants</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Common Warrant Shares</w:t>
      </w:r>
      <w:r>
        <w:rPr>
          <w:rFonts w:ascii="Times New Roman" w:cs="Times New Roman" w:eastAsia="Times New Roman" w:hAnsi="Times New Roman"/>
          <w:sz w:val="18"/>
          <w:szCs w:val="18"/>
          <w:color w:val="auto"/>
        </w:rPr>
        <w:t>” and, together with the Pre-Funded Warrant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(i) the Registration Statement; (ii) the prospectus included therein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(iii) the Company’s certificate of incorporation and bylaws, each as amended and in effect on the date hereof; (iv) certain resolutions of the Company’s board of directors authorizing the entry into the Purchase Agreement, the issuance of the Shares, the Pre-Funded Warrants, the May 2026 Common Warrants and the shares issuable upon exercise thereof, and the filing of the Registration Statement; and (v) the originals or copies, certified or otherwise, identified to our satisfaction, of such records of the Company, certificates of public officials regarding the Company, officers of the Company, and such matters of law and regulation and such other documents as we have deemed relevant and necessary for the basis of our opinions hereinafter expressed.</w:t>
      </w:r>
    </w:p>
    <w:p>
      <w:pPr>
        <w:spacing w:after="0" w:line="185"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clarkhill.com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such examination, we have assumed the following: (i) the authenticity of documents submitted to us as originals and the conformity to authentic original documents, agreements and instruments of all documents, agreements and instruments submitted to us as facsimiles or PDFs, or as certified, conformed or reproduced copies, and the genuineness of all signatures; (ii) the legal capacity and competency of all signatories and the genuineness and validity of all signatures on all documents, (iii) the conformity to the originals of all documents submitted to us as copies and the authenticity of the originals of such copies; (iv) all documents filed as exhibits to the Registration Statement that have not been executed will conform to the forms thereof; and (v) the truth, accuracy and completeness of the information, factual matters, representations, warranties and covenants contained in the records, agreements (including the Transaction Agreements), documents, instruments and certificates we have reviewed. In making our examination of documents executed or to be executed, we have assumed that the parties thereto, other than the Company, had or will have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opinions expressed herein that we did not independently establish or verify, we have relied upon statements and representations of officers and other representatives of the Company and others and of public officials.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further assumed that at the time of issuance and to the extent any such issuance would exceed the maximum share capital of the Company currently authorized, the number of shares of Common Stock that the Company is authorized to issue shall have been increased in accordance with the bylaws such that a sufficient number of shares of Common Stock are authorized and available for issuance under the bylaws.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qualifications and limitations set forth herein, we are of the opinion that:</w:t>
      </w:r>
    </w:p>
    <w:p>
      <w:pPr>
        <w:spacing w:after="0" w:line="225"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are validly issued, fully paid and nonassessable.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 Shares have been duly authorized and, when issued upon proper exercise of the Pre-Funded Warrants in accordance with their terms (including payment of the applicable exercise price),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Warrant Shares have been duly authorized and, when issued upon proper exercise of the May 2026 Common Warrants in accordance with their terms (including payment of the applicable exercise price), will be validly issued,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and to the reference to our firm under the heading “Legal Matters” in the Registration Statement. In giving such consent, we do not thereby admit that we are within the category of persons whose consent is required under Section 7 of the Securities Act or the rules and regulations of the SEC promulgated thereunder.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the federal laws of the United States of America. We express no opinion as to the laws of any other jurisdiction. This opinion is rendered as of the date hereof, and we undertake no obligation to update or supplement this opinion to reflect any facts or circumstances that may arise after the date hereof or any changes in applicable law.</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Clark Hill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CLARK HILL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JG: jz</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clarkhill.com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36" Type="http://schemas.openxmlformats.org/officeDocument/2006/relationships/image" Target="media/image7.png"/><Relationship Id="rId55" Type="http://schemas.openxmlformats.org/officeDocument/2006/relationships/image" Target="media/image8.png"/><Relationship Id="rId68" Type="http://schemas.openxmlformats.org/officeDocument/2006/relationships/image" Target="media/image9.png"/><Relationship Id="rId69" Type="http://schemas.openxmlformats.org/officeDocument/2006/relationships/image" Target="media/image10.png"/><Relationship Id="rId70" Type="http://schemas.openxmlformats.org/officeDocument/2006/relationships/image" Target="media/image11.png"/><Relationship Id="rId71" Type="http://schemas.openxmlformats.org/officeDocument/2006/relationships/image" Target="media/image12.jpeg"/><Relationship Id="rId72" Type="http://schemas.openxmlformats.org/officeDocument/2006/relationships/image" Target="media/image13.png"/><Relationship Id="rId73" Type="http://schemas.openxmlformats.org/officeDocument/2006/relationships/image" Target="media/image14.png"/><Relationship Id="rId74" Type="http://schemas.openxmlformats.org/officeDocument/2006/relationships/image" Target="media/image15.png"/><Relationship Id="rId14" Type="http://schemas.openxmlformats.org/officeDocument/2006/relationships/hyperlink" Target="https://www.sec.gov/Archives/edgar/data/1828673/000119312521224302/d179831dex31.htm" TargetMode="External"/><Relationship Id="rId15" Type="http://schemas.openxmlformats.org/officeDocument/2006/relationships/hyperlink" Target="https://www.sec.gov/Archives/edgar/data/1828673/000095017025048619/hcwb-ex3_1a.htm" TargetMode="External"/><Relationship Id="rId16" Type="http://schemas.openxmlformats.org/officeDocument/2006/relationships/hyperlink" Target="https://www.sec.gov/Archives/edgar/data/1828673/000095017025048619/hcwb-ex3_1b.htm" TargetMode="External"/><Relationship Id="rId17" Type="http://schemas.openxmlformats.org/officeDocument/2006/relationships/hyperlink" Target="https://www.sec.gov/Archives/edgar/data/1828673/000119312521224302/d179831dex32.htm" TargetMode="External"/><Relationship Id="rId18" Type="http://schemas.openxmlformats.org/officeDocument/2006/relationships/hyperlink" Target="https://www.sec.gov/Archives/edgar/data/1828673/000119312521191316/d39345dex41.htm" TargetMode="External"/><Relationship Id="rId19" Type="http://schemas.openxmlformats.org/officeDocument/2006/relationships/hyperlink" Target="https://www.sec.gov/Archives/edgar/data/1828673/000095017022004847/hcwb-ex4_2.htm" TargetMode="External"/><Relationship Id="rId20" Type="http://schemas.openxmlformats.org/officeDocument/2006/relationships/hyperlink" Target="https://www.sec.gov/Archives/edgar/data/1828673/000119312525289873/hcwb-ex4_1.htm" TargetMode="External"/><Relationship Id="rId21" Type="http://schemas.openxmlformats.org/officeDocument/2006/relationships/hyperlink" Target="https://www.sec.gov/Archives/edgar/data/1828673/000119312526059578/hcwb-ex4_1.htm" TargetMode="External"/><Relationship Id="rId22" Type="http://schemas.openxmlformats.org/officeDocument/2006/relationships/hyperlink" Target="https://www.sec.gov/Archives/edgar/data/1828673/000119312526059578/hcwb-ex4_2.htm" TargetMode="External"/><Relationship Id="rId23" Type="http://schemas.openxmlformats.org/officeDocument/2006/relationships/hyperlink" Target="https://www.sec.gov/Archives/edgar/data/1828673/000095017025109642/hcwb-ex10_13.htm" TargetMode="External"/><Relationship Id="rId24" Type="http://schemas.openxmlformats.org/officeDocument/2006/relationships/hyperlink" Target="https://www.sec.gov/Archives/edgar/data/1828673/000149315226024850/ex4-1.htm" TargetMode="External"/><Relationship Id="rId25" Type="http://schemas.openxmlformats.org/officeDocument/2006/relationships/hyperlink" Target="https://www.sec.gov/Archives/edgar/data/1828673/000149315226024850/ex4-2.htm" TargetMode="External"/><Relationship Id="rId26" Type="http://schemas.openxmlformats.org/officeDocument/2006/relationships/hyperlink" Target="https://www.sec.gov/Archives/edgar/data/1828673/000119312525289873/hcwb-ex10_1.htm" TargetMode="External"/><Relationship Id="rId27" Type="http://schemas.openxmlformats.org/officeDocument/2006/relationships/hyperlink" Target="https://www.sec.gov/Archives/edgar/data/1828673/000119312526059578/hcwb-ex10_2.htm" TargetMode="External"/><Relationship Id="rId28" Type="http://schemas.openxmlformats.org/officeDocument/2006/relationships/hyperlink" Target="https://www.sec.gov/Archives/edgar/data/1828673/000119312526059578/hcwb-ex10_3.htm" TargetMode="External"/><Relationship Id="rId29" Type="http://schemas.openxmlformats.org/officeDocument/2006/relationships/hyperlink" Target="https://www.sec.gov/Archives/edgar/data/1828673/000119312526046873/d55258dex1042.htm" TargetMode="External"/><Relationship Id="rId30" Type="http://schemas.openxmlformats.org/officeDocument/2006/relationships/hyperlink" Target="https://www.sec.gov/Archives/edgar/data/1828673/000119312521191316/d39345dex101.htm" TargetMode="External"/><Relationship Id="rId31" Type="http://schemas.openxmlformats.org/officeDocument/2006/relationships/hyperlink" Target="https://www.sec.gov/Archives/edgar/data/1828673/000119312521173753/d39345dex102.htm" TargetMode="External"/><Relationship Id="rId32" Type="http://schemas.openxmlformats.org/officeDocument/2006/relationships/hyperlink" Target="https://www.sec.gov/Archives/edgar/data/1828673/000119312521173753/d39345dex103.htm" TargetMode="External"/><Relationship Id="rId33" Type="http://schemas.openxmlformats.org/officeDocument/2006/relationships/hyperlink" Target="https://www.sec.gov/Archives/edgar/data/1828673/000119312521209000/d39345dex104.htm" TargetMode="External"/><Relationship Id="rId34" Type="http://schemas.openxmlformats.org/officeDocument/2006/relationships/hyperlink" Target="https://www.sec.gov/Archives/edgar/data/1828673/000119312521209000/d39345dex106.htm" TargetMode="External"/><Relationship Id="rId35" Type="http://schemas.openxmlformats.org/officeDocument/2006/relationships/hyperlink" Target="https://www.sec.gov/Archives/edgar/data/1828673/000119312521173753/d39345dex107.htm" TargetMode="External"/><Relationship Id="rId37" Type="http://schemas.openxmlformats.org/officeDocument/2006/relationships/hyperlink" Target="https://www.sec.gov/Archives/edgar/data/1828673/000119312521191316/d39345dex108.htm" TargetMode="External"/><Relationship Id="rId38" Type="http://schemas.openxmlformats.org/officeDocument/2006/relationships/hyperlink" Target="https://www.sec.gov/Archives/edgar/data/1828673/000119312521209000/d39345dex1013.htm" TargetMode="External"/><Relationship Id="rId39" Type="http://schemas.openxmlformats.org/officeDocument/2006/relationships/hyperlink" Target="https://www.sec.gov/Archives/edgar/data/1828673/000119312521191316/d39345dex1011.htm" TargetMode="External"/><Relationship Id="rId40" Type="http://schemas.openxmlformats.org/officeDocument/2006/relationships/hyperlink" Target="https://www.sec.gov/Archives/edgar/data/1828673/000119312521173753/d39345dex1010.htm" TargetMode="External"/><Relationship Id="rId41" Type="http://schemas.openxmlformats.org/officeDocument/2006/relationships/hyperlink" Target="https://www.sec.gov/Archives/edgar/data/1828673/000119312521209000/d39345dex1012.htm" TargetMode="External"/><Relationship Id="rId42" Type="http://schemas.openxmlformats.org/officeDocument/2006/relationships/hyperlink" Target="https://www.sec.gov/Archives/edgar/data/1828673/000095017022017015/hcwb-ex10_1.htm" TargetMode="External"/><Relationship Id="rId43" Type="http://schemas.openxmlformats.org/officeDocument/2006/relationships/hyperlink" Target="https://www.sec.gov/Archives/edgar/data/1828673/000095017022022697/hcwb-ex10_1.htm" TargetMode="External"/><Relationship Id="rId44" Type="http://schemas.openxmlformats.org/officeDocument/2006/relationships/hyperlink" Target="https://www.sec.gov/Archives/edgar/data/1828673/000095017022022697/hcwb-ex10_2.htm" TargetMode="External"/><Relationship Id="rId45" Type="http://schemas.openxmlformats.org/officeDocument/2006/relationships/hyperlink" Target="https://www.sec.gov/Archives/edgar/data/1828673/000095017024018451/hcwb-ex10_1.htm" TargetMode="External"/><Relationship Id="rId46" Type="http://schemas.openxmlformats.org/officeDocument/2006/relationships/hyperlink" Target="https://www.sec.gov/Archives/edgar/data/1828673/000095017024097121/hcwb-ex10_1.htm" TargetMode="External"/><Relationship Id="rId47" Type="http://schemas.openxmlformats.org/officeDocument/2006/relationships/hyperlink" Target="https://www.sec.gov/Archives/edgar/data/1828673/000095017024097121/hcwb-ex10_3.htm" TargetMode="External"/><Relationship Id="rId48" Type="http://schemas.openxmlformats.org/officeDocument/2006/relationships/hyperlink" Target="https://www.sec.gov/Archives/edgar/data/1828673/000095017024097121/hcwb-ex10_4.htm" TargetMode="External"/><Relationship Id="rId49" Type="http://schemas.openxmlformats.org/officeDocument/2006/relationships/hyperlink" Target="https://www.sec.gov/Archives/edgar/data/1828673/000095017024127198/hcwb-ex10_5.htm" TargetMode="External"/><Relationship Id="rId50" Type="http://schemas.openxmlformats.org/officeDocument/2006/relationships/hyperlink" Target="https://www.sec.gov/Archives/edgar/data/1828673/000095017024097121/hcwb-ex10_2.htm" TargetMode="External"/><Relationship Id="rId51" Type="http://schemas.openxmlformats.org/officeDocument/2006/relationships/hyperlink" Target="https://www.sec.gov/Archives/edgar/data/1828673/000095017025109642/hcwb-ex10_12.htm" TargetMode="External"/><Relationship Id="rId52" Type="http://schemas.openxmlformats.org/officeDocument/2006/relationships/hyperlink" Target="https://www.sec.gov/Archives/edgar/data/1828673/000095017025024989/hcwb-ex10_1.htm" TargetMode="External"/><Relationship Id="rId53" Type="http://schemas.openxmlformats.org/officeDocument/2006/relationships/hyperlink" Target="https://www.sec.gov/Archives/edgar/data/1828673/000095017025024989/hcwb-ex10_2.htm" TargetMode="External"/><Relationship Id="rId54" Type="http://schemas.openxmlformats.org/officeDocument/2006/relationships/hyperlink" Target="https://www.sec.gov/Archives/edgar/data/1828673/000095017025109139/hcwb-ex10_1.htm" TargetMode="External"/><Relationship Id="rId56" Type="http://schemas.openxmlformats.org/officeDocument/2006/relationships/hyperlink" Target="https://www.sec.gov/Archives/edgar/data/1828673/000119312526046873/d55258dex1040.htm" TargetMode="External"/><Relationship Id="rId57" Type="http://schemas.openxmlformats.org/officeDocument/2006/relationships/hyperlink" Target="https://www.sec.gov/Archives/edgar/data/1828673/000119312526046873/d55258dex1043.htm" TargetMode="External"/><Relationship Id="rId58" Type="http://schemas.openxmlformats.org/officeDocument/2006/relationships/hyperlink" Target="https://www.sec.gov/Archives/edgar/data/1828673/000119312526046873/d55258dex1044.htm" TargetMode="External"/><Relationship Id="rId59" Type="http://schemas.openxmlformats.org/officeDocument/2006/relationships/hyperlink" Target="https://www.sec.gov/Archives/edgar/data/1828673/000095017025109642/hcwb-ex10_17.htm" TargetMode="External"/><Relationship Id="rId60" Type="http://schemas.openxmlformats.org/officeDocument/2006/relationships/hyperlink" Target="https://www.sec.gov/Archives/edgar/data/1828673/000095017024127198/hcwb-ex10_6.htm" TargetMode="External"/><Relationship Id="rId61" Type="http://schemas.openxmlformats.org/officeDocument/2006/relationships/hyperlink" Target="https://www.sec.gov/Archives/edgar/data/1828673/000119312526059578/hcwb-ex10_1.htm" TargetMode="External"/><Relationship Id="rId62" Type="http://schemas.openxmlformats.org/officeDocument/2006/relationships/hyperlink" Target="https://www.sec.gov/Archives/edgar/data/1828673/000149315226024850/ex10-1.htm" TargetMode="External"/><Relationship Id="rId63" Type="http://schemas.openxmlformats.org/officeDocument/2006/relationships/hyperlink" Target="https://www.sec.gov/Archives/edgar/data/1828673/000149315226024850/ex10-2.htm" TargetMode="External"/><Relationship Id="rId64" Type="http://schemas.openxmlformats.org/officeDocument/2006/relationships/hyperlink" Target="https://www.sec.gov/Archives/edgar/data/1828673/000149315226024850/ex10-3.htm" TargetMode="External"/><Relationship Id="rId65" Type="http://schemas.openxmlformats.org/officeDocument/2006/relationships/hyperlink" Target="https://www.sec.gov/Archives/edgar/data/1828673/000149315226027656/ex10-38.htm" TargetMode="External"/><Relationship Id="rId66" Type="http://schemas.openxmlformats.org/officeDocument/2006/relationships/hyperlink" Target="https://www.sec.gov/Archives/edgar/data/1828673/000149315226027656/ex23-1.htm" TargetMode="External"/><Relationship Id="rId67" Type="http://schemas.openxmlformats.org/officeDocument/2006/relationships/hyperlink" Target="https://www.sec.gov/ix?doc=/Archives/edgar/data/1828673/000149315226027656/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2026-06-18T12:07:39Z</dcterms:created>
  <dcterms:modified xsi:type="dcterms:W3CDTF">2026-06-18T12:07:39Z</dcterms:modified>
</cp:coreProperties>
</file>